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Zoning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zoning-manual">
        <w:r>
          <w:rPr>
            <w:rStyle w:val="Hyperlink"/>
          </w:rPr>
          <w:t xml:space="preserve">Townlight Zoning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discretionary-processes-and-staff-review">
        <w:r>
          <w:rPr>
            <w:rStyle w:val="Hyperlink"/>
          </w:rPr>
          <w:t xml:space="preserve">Discretionary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processes and staff review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4" w:name="townlight-zoning-manual"/>
    <w:p>
      <w:pPr>
        <w:pStyle w:val="Heading1"/>
      </w:pPr>
      <w:r>
        <w:t xml:space="preserve">Townlight Zoning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discretionary-processes-and-staff-review">
        <w:r>
          <w:rPr>
            <w:rStyle w:val="Hyperlink"/>
          </w:rPr>
          <w:t xml:space="preserve">Discretionary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processes and staff review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Zoning helps planners, land-use staff and authorized</w:t>
      </w:r>
      <w:r>
        <w:t xml:space="preserve"> </w:t>
      </w:r>
      <w:r>
        <w:t xml:space="preserve">reviewers. Zoning combines local parcel geometry, cited zoning rules and</w:t>
      </w:r>
      <w:r>
        <w:t xml:space="preserve"> </w:t>
      </w:r>
      <w:r>
        <w:t xml:space="preserve">staff review. It retains questions, corrections and snapshots with</w:t>
      </w:r>
      <w:r>
        <w:t xml:space="preserve"> </w:t>
      </w:r>
      <w:r>
        <w:t xml:space="preserve">provenance so downstream staff can identify the precise evidence</w:t>
      </w:r>
      <w:r>
        <w:t xml:space="preserve"> </w:t>
      </w:r>
      <w:r>
        <w:t xml:space="preserve">used.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townlight-zoning 0.2.3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townlight_zoning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1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prepare-parcel-data"/>
    <w:p>
      <w:pPr>
        <w:pStyle w:val="Heading3"/>
      </w:pPr>
      <w:r>
        <w:t xml:space="preserve">1. Prepare parcel data</w:t>
      </w:r>
    </w:p>
    <w:p>
      <w:pPr>
        <w:pStyle w:val="FirstParagraph"/>
      </w:pPr>
      <w:r>
        <w:t xml:space="preserve">Use the complete supported bundle, including jurisdiction, dataset</w:t>
      </w:r>
      <w:r>
        <w:t xml:space="preserve"> </w:t>
      </w:r>
      <w:r>
        <w:t xml:space="preserve">metadata and original hashes. The coordinates must be EPSG:4326. A loose</w:t>
      </w:r>
      <w:r>
        <w:t xml:space="preserve"> </w:t>
      </w:r>
      <w:r>
        <w:t xml:space="preserve">geometry file is not the full source envelope.</w:t>
      </w:r>
    </w:p>
    <w:p>
      <w:pPr>
        <w:pStyle w:val="BodyText"/>
      </w:pPr>
      <w:bookmarkStart w:id="17" w:name="workflow-2"/>
      <w:bookmarkEnd w:id="17"/>
    </w:p>
    <w:bookmarkEnd w:id="18"/>
    <w:bookmarkStart w:id="20" w:name="import-and-inspect"/>
    <w:p>
      <w:pPr>
        <w:pStyle w:val="Heading3"/>
      </w:pPr>
      <w:r>
        <w:t xml:space="preserve">2. Import and inspect</w:t>
      </w:r>
    </w:p>
    <w:p>
      <w:pPr>
        <w:pStyle w:val="FirstParagraph"/>
      </w:pPr>
      <w:r>
        <w:t xml:space="preserve">Check the complete source envelope before selecting Import parcel</w:t>
      </w:r>
      <w:r>
        <w:t xml:space="preserve"> </w:t>
      </w:r>
      <w:r>
        <w:t xml:space="preserve">dataset. That control submits directly; inspect the saved</w:t>
      </w:r>
      <w:r>
        <w:t xml:space="preserve"> </w:t>
      </w:r>
      <w:r>
        <w:t xml:space="preserve">validation/provenance result afterward. Correct a refused source bundle</w:t>
      </w:r>
      <w:r>
        <w:t xml:space="preserve"> </w:t>
      </w:r>
      <w:r>
        <w:t xml:space="preserve">and preserve the evidence. Do not force acceptance by editing SQL.</w:t>
      </w:r>
    </w:p>
    <w:p>
      <w:pPr>
        <w:pStyle w:val="BodyText"/>
      </w:pPr>
      <w:bookmarkStart w:id="19" w:name="workflow-3"/>
      <w:bookmarkEnd w:id="19"/>
    </w:p>
    <w:bookmarkEnd w:id="20"/>
    <w:bookmarkStart w:id="22" w:name="register-cited-rules"/>
    <w:p>
      <w:pPr>
        <w:pStyle w:val="Heading3"/>
      </w:pPr>
      <w:r>
        <w:t xml:space="preserve">3. Register cited rules</w:t>
      </w:r>
    </w:p>
    <w:p>
      <w:pPr>
        <w:pStyle w:val="FirstParagraph"/>
      </w:pPr>
      <w:r>
        <w:t xml:space="preserve">Associate the zone, rule kind/key and value with the relevant public</w:t>
      </w:r>
      <w:r>
        <w:t xml:space="preserve"> </w:t>
      </w:r>
      <w:r>
        <w:t xml:space="preserve">Code section. Inspect overlays and effective context. Leave missing</w:t>
      </w:r>
      <w:r>
        <w:t xml:space="preserve"> </w:t>
      </w:r>
      <w:r>
        <w:t xml:space="preserve">authority visible for planner review.</w:t>
      </w:r>
    </w:p>
    <w:p>
      <w:pPr>
        <w:pStyle w:val="BodyText"/>
      </w:pPr>
      <w:bookmarkStart w:id="21" w:name="workflow-4"/>
      <w:bookmarkEnd w:id="21"/>
    </w:p>
    <w:bookmarkEnd w:id="22"/>
    <w:bookmarkStart w:id="24" w:name="ask-a-parcel-question"/>
    <w:p>
      <w:pPr>
        <w:pStyle w:val="Heading3"/>
      </w:pPr>
      <w:r>
        <w:t xml:space="preserve">4. Ask a parcel question</w:t>
      </w:r>
    </w:p>
    <w:p>
      <w:pPr>
        <w:pStyle w:val="FirstParagraph"/>
      </w:pPr>
      <w:r>
        <w:t xml:space="preserve">Look up the intended parcel and ask the supported question. Read the</w:t>
      </w:r>
      <w:r>
        <w:t xml:space="preserve"> </w:t>
      </w:r>
      <w:r>
        <w:t xml:space="preserve">returned citation, applicability and disclaimer. Do not present an</w:t>
      </w:r>
      <w:r>
        <w:t xml:space="preserve"> </w:t>
      </w:r>
      <w:r>
        <w:t xml:space="preserve">uncertain answer as an official decision.</w:t>
      </w:r>
    </w:p>
    <w:p>
      <w:pPr>
        <w:pStyle w:val="BodyText"/>
      </w:pPr>
      <w:bookmarkStart w:id="23" w:name="workflow-5"/>
      <w:bookmarkEnd w:id="23"/>
    </w:p>
    <w:bookmarkEnd w:id="24"/>
    <w:bookmarkStart w:id="26" w:name="record-review-and-context"/>
    <w:p>
      <w:pPr>
        <w:pStyle w:val="Heading3"/>
      </w:pPr>
      <w:r>
        <w:t xml:space="preserve">5. Record review and context</w:t>
      </w:r>
    </w:p>
    <w:p>
      <w:pPr>
        <w:pStyle w:val="FirstParagraph"/>
      </w:pPr>
      <w:r>
        <w:t xml:space="preserve">Record a correction and its reason when needed. Select permitted</w:t>
      </w:r>
      <w:r>
        <w:t xml:space="preserve"> </w:t>
      </w:r>
      <w:r>
        <w:t xml:space="preserve">Meetings history explicitly. Preserve the question/review history and</w:t>
      </w:r>
      <w:r>
        <w:t xml:space="preserve"> </w:t>
      </w:r>
      <w:r>
        <w:t xml:space="preserve">distinguish staff-only precedent from public material.</w:t>
      </w:r>
    </w:p>
    <w:p>
      <w:pPr>
        <w:pStyle w:val="BodyText"/>
      </w:pPr>
      <w:bookmarkStart w:id="25" w:name="workflow-6"/>
      <w:bookmarkEnd w:id="25"/>
    </w:p>
    <w:bookmarkEnd w:id="26"/>
    <w:bookmarkStart w:id="28" w:name="create-a-snapshot"/>
    <w:p>
      <w:pPr>
        <w:pStyle w:val="Heading3"/>
      </w:pPr>
      <w:r>
        <w:t xml:space="preserve">6. Create a snapshot</w:t>
      </w:r>
    </w:p>
    <w:p>
      <w:pPr>
        <w:pStyle w:val="FirstParagraph"/>
      </w:pPr>
      <w:r>
        <w:t xml:space="preserve">Review the audience and exact content before creating the immutable</w:t>
      </w:r>
      <w:r>
        <w:t xml:space="preserve"> </w:t>
      </w:r>
      <w:r>
        <w:t xml:space="preserve">snapshot. A public snapshot must satisfy its permitted-source contract;</w:t>
      </w:r>
      <w:r>
        <w:t xml:space="preserve"> </w:t>
      </w:r>
      <w:r>
        <w:t xml:space="preserve">choosing a public label does not sanitize private notes.</w:t>
      </w:r>
    </w:p>
    <w:p>
      <w:pPr>
        <w:pStyle w:val="BodyText"/>
      </w:pPr>
      <w:bookmarkStart w:id="27" w:name="workflow-7"/>
      <w:bookmarkEnd w:id="27"/>
    </w:p>
    <w:bookmarkEnd w:id="28"/>
    <w:bookmarkStart w:id="29" w:name="use-it-downstream"/>
    <w:p>
      <w:pPr>
        <w:pStyle w:val="Heading3"/>
      </w:pPr>
      <w:r>
        <w:t xml:space="preserve">7. Use it downstream</w:t>
      </w:r>
    </w:p>
    <w:p>
      <w:pPr>
        <w:pStyle w:val="FirstParagraph"/>
      </w:pPr>
      <w:r>
        <w:t xml:space="preserve">Select the exact snapshot for Records or the permitted provider path.</w:t>
      </w:r>
      <w:r>
        <w:t xml:space="preserve"> </w:t>
      </w:r>
      <w:r>
        <w:t xml:space="preserve">The receiving workflow rechecks visibility, source identity and hash</w:t>
      </w:r>
      <w:r>
        <w:t xml:space="preserve"> </w:t>
      </w:r>
      <w:r>
        <w:t xml:space="preserve">before retaining or exporting it.</w:t>
      </w:r>
    </w:p>
    <w:bookmarkEnd w:id="29"/>
    <w:bookmarkStart w:id="30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0"/>
    <w:bookmarkEnd w:id="31"/>
    <w:bookmarkStart w:id="33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Consumes Code authority and permitted Meetings evidence. Supplies</w:t>
      </w:r>
      <w:r>
        <w:t xml:space="preserve"> </w:t>
      </w:r>
      <w:r>
        <w:t xml:space="preserve">permitted snapshots to Records and context to Planning and</w:t>
      </w:r>
      <w:r>
        <w:t xml:space="preserve"> </w:t>
      </w:r>
      <w:r>
        <w:t xml:space="preserve">Permitting.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 supported EPSG:4326 GeoJSON envelope, jurisdiction and dataset</w:t>
            </w:r>
            <w:r>
              <w:t xml:space="preserve"> </w:t>
            </w:r>
            <w:r>
              <w:t xml:space="preserve">metadata, public Code authority and permitted meeting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Source-backed parcel context, informational answers, recorded human</w:t>
            </w:r>
            <w:r>
              <w:t xml:space="preserve"> </w:t>
            </w:r>
            <w:r>
              <w:t xml:space="preserve">corrections and reviewed snapshots with stable hashes.</w:t>
            </w:r>
          </w:p>
        </w:tc>
      </w:tr>
    </w:tbl>
    <w:bookmarkStart w:id="32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The accepted path is local GeoJSON/PostGIS. It does not establish</w:t>
      </w:r>
      <w:r>
        <w:t xml:space="preserve"> </w:t>
      </w:r>
      <w:r>
        <w:t xml:space="preserve">every ArcGIS, assessor or CKAN connector. Answers and process</w:t>
      </w:r>
      <w:r>
        <w:t xml:space="preserve"> </w:t>
      </w:r>
      <w:r>
        <w:t xml:space="preserve">explanations are informational and do not issue an entitlement or an</w:t>
      </w:r>
      <w:r>
        <w:t xml:space="preserve"> </w:t>
      </w:r>
      <w:r>
        <w:t xml:space="preserve">official zoning determination.</w:t>
      </w:r>
    </w:p>
    <w:bookmarkEnd w:id="32"/>
    <w:bookmarkEnd w:id="33"/>
    <w:bookmarkStart w:id="37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Zoning architecture and evidence flow" title="" id="3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zoning-architec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Zoning architecture and</w:t>
      </w:r>
      <w:r>
        <w:t xml:space="preserve"> </w:t>
      </w:r>
      <w:r>
        <w:t xml:space="preserve">evidence 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7"/>
    <w:bookmarkStart w:id="43" w:name="discretionary-processes-and-staff-review"/>
    <w:p>
      <w:pPr>
        <w:pStyle w:val="Heading2"/>
      </w:pPr>
      <w:r>
        <w:t xml:space="preserve">Discretionary</w:t>
      </w:r>
      <w:r>
        <w:t xml:space="preserve"> </w:t>
      </w:r>
      <w:r>
        <w:t xml:space="preserve">processes and staff review</w:t>
      </w:r>
    </w:p>
    <w:bookmarkStart w:id="39" w:name="explain-the-cited-process"/>
    <w:p>
      <w:pPr>
        <w:pStyle w:val="Heading3"/>
      </w:pPr>
      <w:r>
        <w:t xml:space="preserve">Explain the cited process</w:t>
      </w:r>
    </w:p>
    <w:p>
      <w:pPr>
        <w:pStyle w:val="FirstParagraph"/>
      </w:pPr>
      <w:r>
        <w:t xml:space="preserve">In the existing Zoning workspace, complete</w:t>
      </w:r>
      <w:r>
        <w:t xml:space="preserve"> </w:t>
      </w:r>
      <w:r>
        <w:rPr>
          <w:b/>
          <w:bCs/>
        </w:rPr>
        <w:t xml:space="preserve">Variance,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conditional use or nonconformity question</w:t>
      </w:r>
      <w:r>
        <w:t xml:space="preserve">. Supply the</w:t>
      </w:r>
      <w:r>
        <w:t xml:space="preserve"> </w:t>
      </w:r>
      <w:r>
        <w:t xml:space="preserve">applicable process</w:t>
      </w:r>
      <w:r>
        <w:t xml:space="preserve"> </w:t>
      </w:r>
      <w:r>
        <w:rPr>
          <w:b/>
          <w:bCs/>
        </w:rPr>
        <w:t xml:space="preserve">Code section</w:t>
      </w:r>
      <w:r>
        <w:t xml:space="preserve">,</w:t>
      </w:r>
      <w:r>
        <w:t xml:space="preserve"> </w:t>
      </w:r>
      <w:r>
        <w:rPr>
          <w:b/>
          <w:bCs/>
        </w:rPr>
        <w:t xml:space="preserve">zone</w:t>
      </w:r>
      <w:r>
        <w:rPr>
          <w:b/>
          <w:bCs/>
        </w:rPr>
        <w:t xml:space="preserve"> </w:t>
      </w:r>
      <w:r>
        <w:rPr>
          <w:b/>
          <w:bCs/>
        </w:rPr>
        <w:t xml:space="preserve">code</w:t>
      </w:r>
      <w:r>
        <w:t xml:space="preserve">, optional comma-separated</w:t>
      </w:r>
      <w:r>
        <w:t xml:space="preserve"> </w:t>
      </w:r>
      <w:r>
        <w:rPr>
          <w:b/>
          <w:bCs/>
        </w:rPr>
        <w:t xml:space="preserve">standard to</w:t>
      </w:r>
      <w:r>
        <w:rPr>
          <w:b/>
          <w:bCs/>
        </w:rPr>
        <w:t xml:space="preserve"> </w:t>
      </w:r>
      <w:r>
        <w:rPr>
          <w:b/>
          <w:bCs/>
        </w:rPr>
        <w:t xml:space="preserve">cite</w:t>
      </w:r>
      <w:r>
        <w:t xml:space="preserve">, and optional</w:t>
      </w:r>
      <w:r>
        <w:t xml:space="preserve"> </w:t>
      </w:r>
      <w:r>
        <w:rPr>
          <w:b/>
          <w:bCs/>
        </w:rPr>
        <w:t xml:space="preserve">observed condition</w:t>
      </w:r>
      <w:r>
        <w:t xml:space="preserve">, for</w:t>
      </w:r>
      <w:r>
        <w:t xml:space="preserve"> </w:t>
      </w:r>
      <w:r>
        <w:t xml:space="preserve">example</w:t>
      </w:r>
      <w:r>
        <w:t xml:space="preserve"> </w:t>
      </w:r>
      <w:r>
        <w:rPr>
          <w:rStyle w:val="VerbatimChar"/>
        </w:rPr>
        <w:t xml:space="preserve">front_setback=8 feet</w:t>
      </w:r>
      <w:r>
        <w:t xml:space="preserve">. Select</w:t>
      </w:r>
      <w:r>
        <w:t xml:space="preserve"> </w:t>
      </w:r>
      <w:r>
        <w:rPr>
          <w:b/>
          <w:bCs/>
        </w:rPr>
        <w:t xml:space="preserve">Explain the</w:t>
      </w:r>
      <w:r>
        <w:rPr>
          <w:b/>
          <w:bCs/>
        </w:rPr>
        <w:t xml:space="preserve"> </w:t>
      </w:r>
      <w:r>
        <w:rPr>
          <w:b/>
          <w:bCs/>
        </w:rPr>
        <w:t xml:space="preserve">cited process</w:t>
      </w:r>
      <w:r>
        <w:t xml:space="preserve">. Choose actual imported public authority; the</w:t>
      </w:r>
      <w:r>
        <w:t xml:space="preserve"> </w:t>
      </w:r>
      <w:r>
        <w:t xml:space="preserve">synthetic values below require matching synthetic sources to return</w:t>
      </w:r>
      <w:r>
        <w:t xml:space="preserve"> </w:t>
      </w:r>
      <w:r>
        <w:t xml:space="preserve">supported guidance.</w:t>
      </w:r>
    </w:p>
    <w:p>
      <w:pPr>
        <w:pStyle w:val="BodyText"/>
      </w:pPr>
      <w:r>
        <w:t xml:space="preserve">The mounted API is</w:t>
      </w:r>
      <w:r>
        <w:t xml:space="preserve"> </w:t>
      </w:r>
      <w:r>
        <w:rPr>
          <w:rStyle w:val="VerbatimChar"/>
        </w:rPr>
        <w:t xml:space="preserve">POST /desktop/v1/zoning/standards/process-explanation</w:t>
      </w:r>
      <w:r>
        <w:t xml:space="preserve"> </w:t>
      </w:r>
      <w:r>
        <w:t xml:space="preserve">under</w:t>
      </w:r>
      <w:r>
        <w:t xml:space="preserve"> </w:t>
      </w:r>
      <w:r>
        <w:t xml:space="preserve">the normal authenticated staff session. Its equivalent request body</w:t>
      </w:r>
      <w:r>
        <w:t xml:space="preserve"> </w:t>
      </w:r>
      <w:r>
        <w:t xml:space="preserve">is:</w:t>
      </w:r>
    </w:p>
    <w:bookmarkStart w:id="38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"question"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"Explain the synthetic variance process"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"process_section"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"18.20.050"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"zone_code"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"SYN-R"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"rule_types"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"front_setback"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"observed"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"front_setback"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"8 feet"</w:t>
      </w:r>
      <w:r>
        <w:rPr>
          <w:rStyle w:val="FunctionTok"/>
        </w:rPr>
        <w:t xml:space="preserve">}}</w:t>
      </w:r>
    </w:p>
    <w:bookmarkEnd w:id="38"/>
    <w:p>
      <w:pPr>
        <w:pStyle w:val="FirstParagraph"/>
      </w:pPr>
      <w:r>
        <w:t xml:space="preserve">Read process citations and each cited standard independently. The</w:t>
      </w:r>
      <w:r>
        <w:t xml:space="preserve"> </w:t>
      </w:r>
      <w:r>
        <w:t xml:space="preserve">output can explain a verified process while reporting unavailable</w:t>
      </w:r>
      <w:r>
        <w:t xml:space="preserve"> </w:t>
      </w:r>
      <w:r>
        <w:t xml:space="preserve">standards or review flags. A difference between an observation and a</w:t>
      </w:r>
      <w:r>
        <w:t xml:space="preserve"> </w:t>
      </w:r>
      <w:r>
        <w:t xml:space="preserve">cited standard is an informational flag; it is not a variance finding,</w:t>
      </w:r>
      <w:r>
        <w:t xml:space="preserve"> </w:t>
      </w:r>
      <w:r>
        <w:t xml:space="preserve">approval, nonconformity determination or substitute for planner review.</w:t>
      </w:r>
      <w:r>
        <w:t xml:space="preserve"> </w:t>
      </w:r>
      <w:r>
        <w:t xml:space="preserve">If no relevant authority is available, obtain the source or leave the</w:t>
      </w:r>
      <w:r>
        <w:t xml:space="preserve"> </w:t>
      </w:r>
      <w:r>
        <w:t xml:space="preserve">item unavailable. Do not attach an unrelated citation to a proposed</w:t>
      </w:r>
      <w:r>
        <w:t xml:space="preserve"> </w:t>
      </w:r>
      <w:r>
        <w:t xml:space="preserve">requirement.</w:t>
      </w:r>
    </w:p>
    <w:bookmarkEnd w:id="39"/>
    <w:bookmarkStart w:id="40" w:name="Xcb5a2a798d48f393ffcdf976eac44e68cefad27"/>
    <w:p>
      <w:pPr>
        <w:pStyle w:val="Heading3"/>
      </w:pPr>
      <w:r>
        <w:t xml:space="preserve">Keep</w:t>
      </w:r>
      <w:r>
        <w:t xml:space="preserve"> </w:t>
      </w:r>
      <w:r>
        <w:t xml:space="preserve">parcel import and inspection in the right order</w:t>
      </w:r>
    </w:p>
    <w:p>
      <w:pPr>
        <w:pStyle w:val="FirstParagraph"/>
      </w:pPr>
      <w:r>
        <w:t xml:space="preserve">Check the complete JSON envelope, original hashes and EPSG:4326</w:t>
      </w:r>
      <w:r>
        <w:t xml:space="preserve"> </w:t>
      </w:r>
      <w:r>
        <w:t xml:space="preserve">geometry before submitting</w:t>
      </w:r>
      <w:r>
        <w:t xml:space="preserve"> </w:t>
      </w:r>
      <w:r>
        <w:rPr>
          <w:b/>
          <w:bCs/>
        </w:rPr>
        <w:t xml:space="preserve">Import parcel dataset</w:t>
      </w:r>
      <w:r>
        <w:t xml:space="preserve">. That</w:t>
      </w:r>
      <w:r>
        <w:t xml:space="preserve"> </w:t>
      </w:r>
      <w:r>
        <w:t xml:space="preserve">control sends the import directly; it does not open a separate</w:t>
      </w:r>
      <w:r>
        <w:t xml:space="preserve"> </w:t>
      </w:r>
      <w:r>
        <w:t xml:space="preserve">preview/commit screen. Inspect the returned validation/provenance and</w:t>
      </w:r>
      <w:r>
        <w:t xml:space="preserve"> </w:t>
      </w:r>
      <w:r>
        <w:t xml:space="preserve">saved dataset. The browser refuses bundle files larger than 20 MiB;</w:t>
      </w:r>
      <w:r>
        <w:t xml:space="preserve"> </w:t>
      </w:r>
      <w:r>
        <w:t xml:space="preserve">valid geometry and metadata remain subject to server validation. Correct</w:t>
      </w:r>
      <w:r>
        <w:t xml:space="preserve"> </w:t>
      </w:r>
      <w:r>
        <w:t xml:space="preserve">the source bundle after a refusal and retain earlier evidence rather</w:t>
      </w:r>
      <w:r>
        <w:t xml:space="preserve"> </w:t>
      </w:r>
      <w:r>
        <w:t xml:space="preserve">than forcing SQL changes.</w:t>
      </w:r>
    </w:p>
    <w:bookmarkEnd w:id="40"/>
    <w:bookmarkStart w:id="42" w:name="X1a09773f214eb3649f3c7251a6e097bc1bfdf19"/>
    <w:p>
      <w:pPr>
        <w:pStyle w:val="Heading3"/>
      </w:pPr>
      <w:r>
        <w:t xml:space="preserve">Use the existing</w:t>
      </w:r>
      <w:r>
        <w:t xml:space="preserve"> </w:t>
      </w:r>
      <w:r>
        <w:t xml:space="preserve">specialist review contracts</w:t>
      </w:r>
    </w:p>
    <w:p>
      <w:pPr>
        <w:pStyle w:val="FirstParagraph"/>
      </w:pPr>
      <w:r>
        <w:t xml:space="preserve">The standalone Zoning application’s review/analytics/report routes</w:t>
      </w:r>
      <w:r>
        <w:t xml:space="preserve"> </w:t>
      </w:r>
      <w:r>
        <w:t xml:space="preserve">are documented source capabilities, not extra native desktop screens. In</w:t>
      </w:r>
      <w:r>
        <w:t xml:space="preserve"> </w:t>
      </w:r>
      <w:r>
        <w:t xml:space="preserve">a deployment where its actual staff authentication is already</w:t>
      </w:r>
      <w:r>
        <w:t xml:space="preserve"> </w:t>
      </w:r>
      <w:r>
        <w:t xml:space="preserve">configured:</w:t>
      </w:r>
    </w:p>
    <w:p>
      <w:pPr>
        <w:pStyle w:val="Compact"/>
        <w:numPr>
          <w:ilvl w:val="0"/>
          <w:numId w:val="1005"/>
        </w:numPr>
      </w:pPr>
      <w:r>
        <w:t xml:space="preserve">Create an ambiguity review with</w:t>
      </w:r>
      <w:r>
        <w:t xml:space="preserve"> </w:t>
      </w:r>
      <w:r>
        <w:rPr>
          <w:rStyle w:val="VerbatimChar"/>
        </w:rPr>
        <w:t xml:space="preserve">zone_code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reason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/api/v1/townlight_zoning/staff/ambiguity-reviews</w:t>
      </w:r>
      <w:r>
        <w:t xml:space="preserve">. Read its</w:t>
      </w:r>
      <w:r>
        <w:t xml:space="preserve"> </w:t>
      </w:r>
      <w:r>
        <w:t xml:space="preserve">returned ID and list state. Update that ID with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t xml:space="preserve">optional</w:t>
      </w:r>
      <w:r>
        <w:t xml:space="preserve"> </w:t>
      </w:r>
      <w:r>
        <w:rPr>
          <w:rStyle w:val="VerbatimChar"/>
        </w:rPr>
        <w:t xml:space="preserve">assigned_to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resolution</w:t>
      </w:r>
      <w:r>
        <w:t xml:space="preserve">; use</w:t>
      </w:r>
      <w:r>
        <w:t xml:space="preserve"> </w:t>
      </w:r>
      <w:r>
        <w:rPr>
          <w:rStyle w:val="VerbatimChar"/>
        </w:rPr>
        <w:t xml:space="preserve">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in_review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. Resolving or closing requires a nonempty</w:t>
      </w:r>
      <w:r>
        <w:t xml:space="preserve"> </w:t>
      </w:r>
      <w:r>
        <w:rPr>
          <w:rStyle w:val="VerbatimChar"/>
        </w:rPr>
        <w:t xml:space="preserve">resolution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Retain a flagged answer at</w:t>
      </w:r>
      <w:r>
        <w:t xml:space="preserve"> </w:t>
      </w:r>
      <w:r>
        <w:rPr>
          <w:rStyle w:val="VerbatimChar"/>
        </w:rPr>
        <w:t xml:space="preserve">/api/v1/townlight_zoning/staff/flagged-answers</w:t>
      </w:r>
      <w:r>
        <w:t xml:space="preserve"> </w:t>
      </w:r>
      <w:r>
        <w:t xml:space="preserve">with the</w:t>
      </w:r>
      <w:r>
        <w:t xml:space="preserve"> </w:t>
      </w:r>
      <w:r>
        <w:t xml:space="preserve">original question/answer, zone, flag reason and source citations. Use</w:t>
      </w:r>
      <w:r>
        <w:t xml:space="preserve"> </w:t>
      </w:r>
      <w:r>
        <w:rPr>
          <w:rStyle w:val="VerbatimChar"/>
        </w:rPr>
        <w:t xml:space="preserve">/{review_id}/improve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improved_answer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improvement_notes</w:t>
      </w:r>
      <w:r>
        <w:t xml:space="preserve">. Preserve the original and improvement</w:t>
      </w:r>
      <w:r>
        <w:t xml:space="preserve"> </w:t>
      </w:r>
      <w:r>
        <w:t xml:space="preserve">attribution; a correction does not rewrite the imported Code</w:t>
      </w:r>
      <w:r>
        <w:t xml:space="preserve"> </w:t>
      </w:r>
      <w:r>
        <w:t xml:space="preserve">source.</w:t>
      </w:r>
    </w:p>
    <w:p>
      <w:pPr>
        <w:pStyle w:val="Compact"/>
        <w:numPr>
          <w:ilvl w:val="0"/>
          <w:numId w:val="1005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/api/v1/townlight_zoning/staff/questions/analytics</w:t>
      </w:r>
      <w:r>
        <w:t xml:space="preserve"> </w:t>
      </w:r>
      <w:r>
        <w:t xml:space="preserve">with the desired</w:t>
      </w:r>
      <w:r>
        <w:t xml:space="preserve"> </w:t>
      </w:r>
      <w:r>
        <w:rPr>
          <w:rStyle w:val="VerbatimChar"/>
        </w:rPr>
        <w:t xml:space="preserve">high_volume_threshold</w:t>
      </w:r>
      <w:r>
        <w:t xml:space="preserve"> </w:t>
      </w:r>
      <w:r>
        <w:t xml:space="preserve">to identify repeated</w:t>
      </w:r>
      <w:r>
        <w:t xml:space="preserve"> </w:t>
      </w:r>
      <w:r>
        <w:t xml:space="preserve">questions and uncertain answers. Analytics counts are review aids, not</w:t>
      </w:r>
      <w:r>
        <w:t xml:space="preserve"> </w:t>
      </w:r>
      <w:r>
        <w:t xml:space="preserve">jurisdictional conclusions.</w:t>
      </w:r>
    </w:p>
    <w:p>
      <w:pPr>
        <w:pStyle w:val="Compact"/>
        <w:numPr>
          <w:ilvl w:val="0"/>
          <w:numId w:val="1005"/>
        </w:numPr>
      </w:pPr>
      <w:r>
        <w:t xml:space="preserve">Create</w:t>
      </w:r>
      <w:r>
        <w:t xml:space="preserve"> </w:t>
      </w:r>
      <w:r>
        <w:rPr>
          <w:rStyle w:val="VerbatimChar"/>
        </w:rPr>
        <w:t xml:space="preserve">/api/v1/townlight_zoning/staff/reports/outline</w:t>
      </w:r>
      <w:r>
        <w:t xml:space="preserve"> </w:t>
      </w:r>
      <w:r>
        <w:t xml:space="preserve">with a title and actual selected</w:t>
      </w:r>
      <w:r>
        <w:t xml:space="preserve"> </w:t>
      </w:r>
      <w:r>
        <w:rPr>
          <w:rStyle w:val="VerbatimChar"/>
        </w:rPr>
        <w:t xml:space="preserve">question_ids</w:t>
      </w:r>
      <w:r>
        <w:t xml:space="preserve">/</w:t>
      </w:r>
      <w:r>
        <w:rPr>
          <w:rStyle w:val="VerbatimChar"/>
        </w:rPr>
        <w:t xml:space="preserve">queue_item_ids</w:t>
      </w:r>
      <w:r>
        <w:t xml:space="preserve">. Review the</w:t>
      </w:r>
      <w:r>
        <w:t xml:space="preserve"> </w:t>
      </w:r>
      <w:r>
        <w:t xml:space="preserve">resulting outline and citations before incorporating it in a staff</w:t>
      </w:r>
      <w:r>
        <w:t xml:space="preserve"> </w:t>
      </w:r>
      <w:r>
        <w:t xml:space="preserve">report. It is not a filed report or a meeting decision.</w:t>
      </w:r>
    </w:p>
    <w:p>
      <w:pPr>
        <w:pStyle w:val="FirstParagraph"/>
      </w:pPr>
      <w:r>
        <w:t xml:space="preserve">A synthetic ambiguity request is:</w:t>
      </w:r>
    </w:p>
    <w:bookmarkStart w:id="41" w:name="cb2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"zone_code"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"SYN-R"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"question"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"Which retained setback rule applies?"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"reason"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overlay ambiguity requires planner review"</w:t>
      </w:r>
      <w:r>
        <w:rPr>
          <w:rStyle w:val="FunctionTok"/>
        </w:rPr>
        <w:t xml:space="preserve">}</w:t>
      </w:r>
    </w:p>
    <w:bookmarkEnd w:id="41"/>
    <w:p>
      <w:pPr>
        <w:pStyle w:val="FirstParagraph"/>
      </w:pPr>
      <w:r>
        <w:t xml:space="preserve">Do not send invented staff-role headers or assume these standalone</w:t>
      </w:r>
      <w:r>
        <w:t xml:space="preserve"> </w:t>
      </w:r>
      <w:r>
        <w:t xml:space="preserve">paths exist at the installed desktop origin. The native workspace’s</w:t>
      </w:r>
      <w:r>
        <w:t xml:space="preserve"> </w:t>
      </w:r>
      <w:r>
        <w:t xml:space="preserve">supported review/history/snapshot controls continue to use its fixed</w:t>
      </w:r>
      <w:r>
        <w:t xml:space="preserve"> </w:t>
      </w:r>
      <w:r>
        <w:t xml:space="preserve">authenticated bridge. Use the technical supplement to distinguish the</w:t>
      </w:r>
      <w:r>
        <w:t xml:space="preserve"> </w:t>
      </w:r>
      <w:r>
        <w:t xml:space="preserve">two surfaces.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townlight_runtime/zoning_bridge.py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townlight_zoning/main.py</w:t>
      </w:r>
      <w:r>
        <w:t xml:space="preserve">, the imported rule/source models</w:t>
      </w:r>
      <w:r>
        <w:t xml:space="preserve"> </w:t>
      </w:r>
      <w:r>
        <w:t xml:space="preserve">and desktop Zoning view.</w:t>
      </w:r>
    </w:p>
    <w:bookmarkEnd w:id="42"/>
    <w:bookmarkEnd w:id="43"/>
    <w:bookmarkStart w:id="49" w:name="technical-specifications"/>
    <w:p>
      <w:pPr>
        <w:pStyle w:val="Heading2"/>
      </w:pPr>
      <w:r>
        <w:t xml:space="preserve">Technical specifications</w:t>
      </w:r>
    </w:p>
    <w:bookmarkStart w:id="44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4"/>
    <w:bookmarkStart w:id="45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GeoJSON import datasets; parcels and zone/overlay context; cited</w:t>
      </w:r>
      <w:r>
        <w:t xml:space="preserve"> </w:t>
      </w:r>
      <w:r>
        <w:t xml:space="preserve">rules; questions and answers; review events; selected Meetings history;</w:t>
      </w:r>
      <w:r>
        <w:t xml:space="preserve"> </w:t>
      </w:r>
      <w:r>
        <w:t xml:space="preserve">immutable snapshots.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5"/>
    <w:bookmarkStart w:id="48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6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7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8"/>
    <w:bookmarkEnd w:id="49"/>
    <w:bookmarkStart w:id="51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0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0"/>
    <w:bookmarkEnd w:id="51"/>
    <w:bookmarkStart w:id="64" w:name="api-and-integration-examples"/>
    <w:p>
      <w:pPr>
        <w:pStyle w:val="Heading2"/>
      </w:pPr>
      <w:r>
        <w:t xml:space="preserve">API and integration examples</w:t>
      </w:r>
    </w:p>
    <w:bookmarkStart w:id="53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2" w:name="cb3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'zoning_domain_request'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'history'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questionId}})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2"/>
    <w:bookmarkEnd w:id="53"/>
    <w:bookmarkStart w:id="55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4" w:name="cb4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'http://127.0.0.1:15480/desktop/v1/zoning/workspace'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4"/>
    <w:bookmarkEnd w:id="55"/>
    <w:bookmarkStart w:id="57" w:name="complete-synthetic-source-bundle"/>
    <w:p>
      <w:pPr>
        <w:pStyle w:val="Heading3"/>
      </w:pPr>
      <w:r>
        <w:t xml:space="preserve">Complete synthetic source</w:t>
      </w:r>
      <w:r>
        <w:t xml:space="preserve"> </w:t>
      </w:r>
      <w:r>
        <w:t xml:space="preserve">bundle</w:t>
      </w:r>
    </w:p>
    <w:p>
      <w:pPr>
        <w:pStyle w:val="FirstParagraph"/>
      </w:pPr>
      <w:r>
        <w:t xml:space="preserve">The</w:t>
      </w:r>
      <w:r>
        <w:t xml:space="preserve"> </w:t>
      </w:r>
      <w:hyperlink r:id="rId56">
        <w:r>
          <w:rPr>
            <w:rStyle w:val="Hyperlink"/>
          </w:rPr>
          <w:t xml:space="preserve">synthetic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Zoning bundle</w:t>
        </w:r>
      </w:hyperlink>
      <w:r>
        <w:t xml:space="preserve"> </w:t>
      </w:r>
      <w:r>
        <w:t xml:space="preserve">is the retained fixture used by the beta staff</w:t>
      </w:r>
      <w:r>
        <w:t xml:space="preserve"> </w:t>
      </w:r>
      <w:r>
        <w:t xml:space="preserve">exercise. It includes the complete supported source envelope rather than</w:t>
      </w:r>
      <w:r>
        <w:t xml:space="preserve"> </w:t>
      </w:r>
      <w:r>
        <w:t xml:space="preserve">a shortened pseudo-payload. Keep its fictional source labels. For</w:t>
      </w:r>
      <w:r>
        <w:t xml:space="preserve"> </w:t>
      </w:r>
      <w:r>
        <w:t xml:space="preserve">Planning, wrap it as</w:t>
      </w:r>
      <w:r>
        <w:t xml:space="preserve"> </w:t>
      </w:r>
      <w:r>
        <w:rPr>
          <w:rStyle w:val="VerbatimChar"/>
        </w:rPr>
        <w:t xml:space="preserve">{"bundle": BUNDLE, "expected_previous_revision": null}</w:t>
      </w:r>
      <w:r>
        <w:t xml:space="preserve">; for</w:t>
      </w:r>
      <w:r>
        <w:t xml:space="preserve"> </w:t>
      </w:r>
      <w:r>
        <w:t xml:space="preserve">Permitting use</w:t>
      </w:r>
      <w:r>
        <w:t xml:space="preserve"> </w:t>
      </w:r>
      <w:r>
        <w:rPr>
          <w:rStyle w:val="VerbatimChar"/>
        </w:rPr>
        <w:t xml:space="preserve">{"bundle": BUNDLE, "expected_revision": null}</w:t>
      </w:r>
      <w:r>
        <w:t xml:space="preserve">. Code and</w:t>
      </w:r>
      <w:r>
        <w:t xml:space="preserve"> </w:t>
      </w:r>
      <w:r>
        <w:t xml:space="preserve">Zoning take their own complete import envelopes. Replace null with the</w:t>
      </w:r>
      <w:r>
        <w:t xml:space="preserve"> </w:t>
      </w:r>
      <w:r>
        <w:t xml:space="preserve">current expected revision when revising an existing source, as the</w:t>
      </w:r>
      <w:r>
        <w:t xml:space="preserve"> </w:t>
      </w:r>
      <w:r>
        <w:t xml:space="preserve">applicable schema requires. These are import examples, not legal</w:t>
      </w:r>
      <w:r>
        <w:t xml:space="preserve"> </w:t>
      </w:r>
      <w:r>
        <w:t xml:space="preserve">authority or permission to load them into a live city profile.</w:t>
      </w:r>
    </w:p>
    <w:bookmarkEnd w:id="57"/>
    <w:bookmarkStart w:id="59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8" w:name="cb5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8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59"/>
    <w:bookmarkStart w:id="63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60">
        <w:r>
          <w:rPr>
            <w:rStyle w:val="Hyperlink"/>
          </w:rPr>
          <w:t xml:space="preserve">Zoning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61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</w:t>
      </w:r>
      <w:r>
        <w:t xml:space="preserve"> </w:t>
      </w:r>
      <w:r>
        <w:t xml:space="preserve">For 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62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3"/>
    <w:bookmarkEnd w:id="64"/>
    <w:bookmarkStart w:id="67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5" w:name="cb6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5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6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7"/>
    <w:bookmarkStart w:id="68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8"/>
    <w:bookmarkStart w:id="69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69"/>
    <w:bookmarkStart w:id="70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70"/>
    <w:bookmarkStart w:id="72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Zoning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GeoJSON/PostGIS import, cited dimensional rule, parcel answer, staff</w:t>
            </w:r>
            <w:r>
              <w:t xml:space="preserve"> </w:t>
            </w:r>
            <w:r>
              <w:t xml:space="preserve">review/history/snapshot and native workspace.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1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2"/>
    <w:bookmarkStart w:id="84" w:name="terms-of-service-and-license"/>
    <w:p>
      <w:pPr>
        <w:pStyle w:val="Heading2"/>
      </w:pPr>
      <w:r>
        <w:t xml:space="preserve">Terms of service and license</w:t>
      </w:r>
    </w:p>
    <w:bookmarkStart w:id="73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3"/>
    <w:bookmarkStart w:id="76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4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5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6"/>
    <w:bookmarkStart w:id="77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7"/>
    <w:bookmarkStart w:id="78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8"/>
    <w:bookmarkStart w:id="79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79"/>
    <w:bookmarkStart w:id="80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80"/>
    <w:bookmarkStart w:id="81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1"/>
    <w:bookmarkStart w:id="82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2"/>
    <w:bookmarkStart w:id="83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3"/>
    <w:bookmarkEnd w:id="84"/>
    <w:bookmarkStart w:id="85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5"/>
    <w:bookmarkStart w:id="87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6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Discretionary processes and staff review</w:t>
      </w:r>
      <w:r>
        <w:t xml:space="preserve"> </w:t>
      </w:r>
      <w:r>
        <w:t xml:space="preserve">—</w:t>
      </w:r>
      <w:r>
        <w:t xml:space="preserve"> </w:t>
      </w:r>
      <w:hyperlink w:anchor="discretionary-processes-and-staff-review">
        <w:r>
          <w:rPr>
            <w:rStyle w:val="Hyperlink"/>
          </w:rPr>
          <w:t xml:space="preserve">Discretionary processes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staff review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Explain the cited process</w:t>
      </w:r>
      <w:r>
        <w:t xml:space="preserve"> </w:t>
      </w:r>
      <w:r>
        <w:t xml:space="preserve">—</w:t>
      </w:r>
      <w:r>
        <w:t xml:space="preserve"> </w:t>
      </w:r>
      <w:hyperlink w:anchor="explain-the-cited-process">
        <w:r>
          <w:rPr>
            <w:rStyle w:val="Hyperlink"/>
          </w:rPr>
          <w:t xml:space="preserve">Explain the cited process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Keep parcel import and inspection in the right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—</w:t>
      </w:r>
      <w:r>
        <w:t xml:space="preserve"> </w:t>
      </w:r>
      <w:hyperlink w:anchor="Xcb5a2a798d48f393ffcdf976eac44e68cefad27">
        <w:r>
          <w:rPr>
            <w:rStyle w:val="Hyperlink"/>
          </w:rPr>
          <w:t xml:space="preserve">Keep parcel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import and inspection in the right order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Use the existing specialist review contracts</w:t>
      </w:r>
      <w:r>
        <w:t xml:space="preserve"> </w:t>
      </w:r>
      <w:r>
        <w:t xml:space="preserve">—</w:t>
      </w:r>
      <w:r>
        <w:t xml:space="preserve"> </w:t>
      </w:r>
      <w:hyperlink w:anchor="X1a09773f214eb3649f3c7251a6e097bc1bfdf19">
        <w:r>
          <w:rPr>
            <w:rStyle w:val="Hyperlink"/>
          </w:rPr>
          <w:t xml:space="preserve">Use the existing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specialist review contracts</w:t>
        </w:r>
      </w:hyperlink>
      <w:r>
        <w:t xml:space="preserve">.</w:t>
      </w:r>
    </w:p>
    <w:bookmarkEnd w:id="86"/>
    <w:bookmarkEnd w:id="87"/>
    <w:bookmarkStart w:id="93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2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Ask a parcel question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 workflow, step 4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Create a snapshot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6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Import and inspect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2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Prepare parcel data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 workflow, step 1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Record review and context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 workflow, step 5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Register cited rules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 workflow, step 3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Use it downstream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7</w:t>
        </w:r>
      </w:hyperlink>
      <w:r>
        <w:t xml:space="preserve">.</w:t>
      </w:r>
    </w:p>
    <w:p>
      <w:pPr>
        <w:numPr>
          <w:ilvl w:val="0"/>
          <w:numId w:val="1008"/>
        </w:numPr>
      </w:pPr>
      <w:hyperlink r:id="rId88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8"/>
        </w:numPr>
      </w:pPr>
      <w:hyperlink r:id="rId89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8"/>
        </w:numPr>
      </w:pPr>
      <w:hyperlink r:id="rId90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8"/>
        </w:numPr>
      </w:pPr>
      <w:hyperlink r:id="rId91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1" Target="https://townlight.github.io/api/zoning-openapi.json" TargetMode="External" /><Relationship Type="http://schemas.openxmlformats.org/officeDocument/2006/relationships/hyperlink" Id="rId60" Target="https://townlight.github.io/api/zoning.html" TargetMode="External" /><Relationship Type="http://schemas.openxmlformats.org/officeDocument/2006/relationships/hyperlink" Id="rId91" Target="https://townlight.github.io/reference/AGPL-3.0.txt" TargetMode="External" /><Relationship Type="http://schemas.openxmlformats.org/officeDocument/2006/relationships/hyperlink" Id="rId47" Target="https://townlight.github.io/reference/component-metadata.json" TargetMode="External" /><Relationship Type="http://schemas.openxmlformats.org/officeDocument/2006/relationships/hyperlink" Id="rId89" Target="https://townlight.github.io/reference/desktop-domain-openapi.json" TargetMode="External" /><Relationship Type="http://schemas.openxmlformats.org/officeDocument/2006/relationships/hyperlink" Id="rId56" Target="https://townlight.github.io/reference/examples/synthetic-geo-bundle.json" TargetMode="External" /><Relationship Type="http://schemas.openxmlformats.org/officeDocument/2006/relationships/hyperlink" Id="rId62" Target="https://townlight.github.io/reference/index.html" TargetMode="External" /><Relationship Type="http://schemas.openxmlformats.org/officeDocument/2006/relationships/hyperlink" Id="rId66" Target="https://townlight.github.io/reference/mcp.html" TargetMode="External" /><Relationship Type="http://schemas.openxmlformats.org/officeDocument/2006/relationships/hyperlink" Id="rId46" Target="https://townlight.github.io/reference/runtime-payload-lock.json" TargetMode="External" /><Relationship Type="http://schemas.openxmlformats.org/officeDocument/2006/relationships/hyperlink" Id="rId71" Target="https://townlight.github.io/reference/sandbox-evidence-index.json" TargetMode="External" /><Relationship Type="http://schemas.openxmlformats.org/officeDocument/2006/relationships/hyperlink" Id="rId88" Target="https://townlight.github.io/reference/source-inventory.json" TargetMode="External" /><Relationship Type="http://schemas.openxmlformats.org/officeDocument/2006/relationships/hyperlink" Id="rId90" Target="https://townlight.github.io/reference/workflow-matrix.json" TargetMode="External" /><Relationship Type="http://schemas.openxmlformats.org/officeDocument/2006/relationships/hyperlink" Id="rId74" Target="https://www.gnu.org/licenses/agpl-3.0.html" TargetMode="External" /><Relationship Type="http://schemas.openxmlformats.org/officeDocument/2006/relationships/hyperlink" Id="rId75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1" Target="https://townlight.github.io/api/zoning-openapi.json" TargetMode="External" /><Relationship Type="http://schemas.openxmlformats.org/officeDocument/2006/relationships/hyperlink" Id="rId60" Target="https://townlight.github.io/api/zoning.html" TargetMode="External" /><Relationship Type="http://schemas.openxmlformats.org/officeDocument/2006/relationships/hyperlink" Id="rId91" Target="https://townlight.github.io/reference/AGPL-3.0.txt" TargetMode="External" /><Relationship Type="http://schemas.openxmlformats.org/officeDocument/2006/relationships/hyperlink" Id="rId47" Target="https://townlight.github.io/reference/component-metadata.json" TargetMode="External" /><Relationship Type="http://schemas.openxmlformats.org/officeDocument/2006/relationships/hyperlink" Id="rId89" Target="https://townlight.github.io/reference/desktop-domain-openapi.json" TargetMode="External" /><Relationship Type="http://schemas.openxmlformats.org/officeDocument/2006/relationships/hyperlink" Id="rId56" Target="https://townlight.github.io/reference/examples/synthetic-geo-bundle.json" TargetMode="External" /><Relationship Type="http://schemas.openxmlformats.org/officeDocument/2006/relationships/hyperlink" Id="rId62" Target="https://townlight.github.io/reference/index.html" TargetMode="External" /><Relationship Type="http://schemas.openxmlformats.org/officeDocument/2006/relationships/hyperlink" Id="rId66" Target="https://townlight.github.io/reference/mcp.html" TargetMode="External" /><Relationship Type="http://schemas.openxmlformats.org/officeDocument/2006/relationships/hyperlink" Id="rId46" Target="https://townlight.github.io/reference/runtime-payload-lock.json" TargetMode="External" /><Relationship Type="http://schemas.openxmlformats.org/officeDocument/2006/relationships/hyperlink" Id="rId71" Target="https://townlight.github.io/reference/sandbox-evidence-index.json" TargetMode="External" /><Relationship Type="http://schemas.openxmlformats.org/officeDocument/2006/relationships/hyperlink" Id="rId88" Target="https://townlight.github.io/reference/source-inventory.json" TargetMode="External" /><Relationship Type="http://schemas.openxmlformats.org/officeDocument/2006/relationships/hyperlink" Id="rId90" Target="https://townlight.github.io/reference/workflow-matrix.json" TargetMode="External" /><Relationship Type="http://schemas.openxmlformats.org/officeDocument/2006/relationships/hyperlink" Id="rId74" Target="https://www.gnu.org/licenses/agpl-3.0.html" TargetMode="External" /><Relationship Type="http://schemas.openxmlformats.org/officeDocument/2006/relationships/hyperlink" Id="rId75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Zoning Manual</dc:title>
  <dc:creator/>
  <cp:keywords/>
  <dcterms:created xsi:type="dcterms:W3CDTF">2026-11-04T06:03:20Z</dcterms:created>
  <dcterms:modified xsi:type="dcterms:W3CDTF">2026-11-04T06:03:20Z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