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4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Townlight Suite Manual</w:t>
      </w:r>
    </w:p>
    <w:p>
      <w:pPr>
        <w:pStyle w:val="FirstParagraph"/>
      </w:pPr>
      <w:r>
        <w:t xml:space="preserve">Windows x64 Beta 1 · MSI 1.7.0.1</w:t>
      </w:r>
    </w:p>
    <w:p>
      <w:pPr>
        <w:pStyle w:val="BodyText"/>
      </w:pPr>
      <w:r>
        <w:t xml:space="preserve">The signed</w:t>
      </w:r>
      <w:r>
        <w:t xml:space="preserve"> </w:t>
      </w:r>
      <w:hyperlink r:id="rId9">
        <w:r>
          <w:rPr>
            <w:rStyle w:val="Hyperlink"/>
          </w:rPr>
          <w:t xml:space="preserve">Windows x64 beta 1.7.0.1</w:t>
        </w:r>
      </w:hyperlink>
      <w:r>
        <w:t xml:space="preserve"> </w:t>
      </w:r>
      <w:r>
        <w:t xml:space="preserve">passed the documented fresh Windows Sandbox checks with synthetic data.</w:t>
      </w:r>
    </w:p>
    <w:p>
      <w:pPr>
        <w:pStyle w:val="Compact"/>
        <w:numPr>
          <w:ilvl w:val="0"/>
          <w:numId w:val="1001"/>
        </w:numPr>
      </w:pPr>
      <w:hyperlink w:anchor="townlight-suite-manual">
        <w:r>
          <w:rPr>
            <w:rStyle w:val="Hyperlink"/>
          </w:rPr>
          <w:t xml:space="preserve">Townlight Suite Manual</w:t>
        </w:r>
      </w:hyperlink>
    </w:p>
    <w:p>
      <w:pPr>
        <w:pStyle w:val="Compact"/>
        <w:numPr>
          <w:ilvl w:val="1"/>
          <w:numId w:val="1002"/>
        </w:numPr>
      </w:pPr>
      <w:hyperlink w:anchor="using-this-manual">
        <w:r>
          <w:rPr>
            <w:rStyle w:val="Hyperlink"/>
          </w:rPr>
          <w:t xml:space="preserve">Using this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manual</w:t>
        </w:r>
      </w:hyperlink>
    </w:p>
    <w:p>
      <w:pPr>
        <w:pStyle w:val="Compact"/>
        <w:numPr>
          <w:ilvl w:val="1"/>
          <w:numId w:val="1002"/>
        </w:numPr>
      </w:pP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</w:p>
    <w:p>
      <w:pPr>
        <w:pStyle w:val="Compact"/>
        <w:numPr>
          <w:ilvl w:val="1"/>
          <w:numId w:val="1002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1"/>
          <w:numId w:val="1002"/>
        </w:numPr>
      </w:pP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</w:p>
    <w:p>
      <w:pPr>
        <w:pStyle w:val="Compact"/>
        <w:numPr>
          <w:ilvl w:val="1"/>
          <w:numId w:val="1002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1"/>
          <w:numId w:val="1002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1"/>
          <w:numId w:val="1002"/>
        </w:numPr>
      </w:pPr>
      <w:hyperlink w:anchor="existing-product-operating-guides">
        <w:r>
          <w:rPr>
            <w:rStyle w:val="Hyperlink"/>
          </w:rPr>
          <w:t xml:space="preserve">Existing product operating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guides</w:t>
        </w:r>
      </w:hyperlink>
    </w:p>
    <w:p>
      <w:pPr>
        <w:pStyle w:val="Compact"/>
        <w:numPr>
          <w:ilvl w:val="1"/>
          <w:numId w:val="1002"/>
        </w:numPr>
      </w:pPr>
      <w:hyperlink w:anchor="technical-specifications">
        <w:r>
          <w:rPr>
            <w:rStyle w:val="Hyperlink"/>
          </w:rPr>
          <w:t xml:space="preserve">Technical specifications</w:t>
        </w:r>
      </w:hyperlink>
    </w:p>
    <w:p>
      <w:pPr>
        <w:pStyle w:val="Compact"/>
        <w:numPr>
          <w:ilvl w:val="1"/>
          <w:numId w:val="1002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1"/>
          <w:numId w:val="1002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1"/>
          <w:numId w:val="1002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1"/>
          <w:numId w:val="1002"/>
        </w:numPr>
      </w:pPr>
      <w:hyperlink w:anchor="security-and-permissions">
        <w:r>
          <w:rPr>
            <w:rStyle w:val="Hyperlink"/>
          </w:rPr>
          <w:t xml:space="preserve">Security and permissions</w:t>
        </w:r>
      </w:hyperlink>
    </w:p>
    <w:p>
      <w:pPr>
        <w:pStyle w:val="Compact"/>
        <w:numPr>
          <w:ilvl w:val="1"/>
          <w:numId w:val="1002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1"/>
          <w:numId w:val="1002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1"/>
          <w:numId w:val="1002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1"/>
          <w:numId w:val="1002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1"/>
          <w:numId w:val="1002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1"/>
          <w:numId w:val="1002"/>
        </w:numPr>
      </w:pPr>
      <w:hyperlink w:anchor="alphabetical-subject-index">
        <w:r>
          <w:rPr>
            <w:rStyle w:val="Hyperlink"/>
          </w:rPr>
          <w:t xml:space="preserve">Alphabetical subject index</w:t>
        </w:r>
      </w:hyperlink>
    </w:p>
    <w:p>
      <w:pPr>
        <w:pStyle w:val="Compact"/>
        <w:numPr>
          <w:ilvl w:val="1"/>
          <w:numId w:val="1002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p>
      <w:pPr>
        <w:pStyle w:val="Compact"/>
        <w:numPr>
          <w:ilvl w:val="1"/>
          <w:numId w:val="1002"/>
        </w:numPr>
      </w:pPr>
      <w:hyperlink w:anchor="station-live-and-recorded-delivery">
        <w:r>
          <w:rPr>
            <w:rStyle w:val="Hyperlink"/>
          </w:rPr>
          <w:t xml:space="preserve">Station live and recorded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delivery</w:t>
        </w:r>
      </w:hyperlink>
    </w:p>
    <w:p>
      <w:pPr>
        <w:pStyle w:val="Compact"/>
        <w:numPr>
          <w:ilvl w:val="1"/>
          <w:numId w:val="1002"/>
        </w:numPr>
      </w:pPr>
      <w:hyperlink w:anchor="delivery-subject-index">
        <w:r>
          <w:rPr>
            <w:rStyle w:val="Hyperlink"/>
          </w:rPr>
          <w:t xml:space="preserve">Delivery subject index</w:t>
        </w:r>
      </w:hyperlink>
    </w:p>
    <w:bookmarkStart w:id="101" w:name="townlight-suite-manual"/>
    <w:p>
      <w:pPr>
        <w:pStyle w:val="Heading1"/>
      </w:pPr>
      <w:r>
        <w:t xml:space="preserve">Townlight Suite Manual</w:t>
      </w:r>
    </w:p>
    <w:p>
      <w:pPr>
        <w:pStyle w:val="BlockText"/>
      </w:pPr>
      <w:r>
        <w:t xml:space="preserve">The signed</w:t>
      </w:r>
      <w:r>
        <w:t xml:space="preserve"> </w:t>
      </w:r>
      <w:hyperlink r:id="rId9">
        <w:r>
          <w:rPr>
            <w:rStyle w:val="Hyperlink"/>
          </w:rPr>
          <w:t xml:space="preserve">Windows x64 beta 1.7.0.1</w:t>
        </w:r>
      </w:hyperlink>
      <w:r>
        <w:t xml:space="preserve"> </w:t>
      </w:r>
      <w:r>
        <w:t xml:space="preserve">passed the documented fresh Windows Sandbox checks with synthetic data. The</w:t>
      </w:r>
      <w:r>
        <w:t xml:space="preserve"> </w:t>
      </w:r>
      <w:hyperlink r:id="rId10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applies to this exact MSI.</w:t>
      </w:r>
    </w:p>
    <w:bookmarkStart w:id="11" w:name="using-this-manual"/>
    <w:p>
      <w:pPr>
        <w:pStyle w:val="Heading2"/>
      </w:pPr>
      <w:r>
        <w:t xml:space="preserve">Using this manual</w:t>
      </w:r>
    </w:p>
    <w:p>
      <w:pPr>
        <w:pStyle w:val="FirstParagraph"/>
      </w:pPr>
      <w:r>
        <w:t xml:space="preserve">Townlight connects municipal workflows around retained sources, named</w:t>
      </w:r>
      <w:r>
        <w:t xml:space="preserve"> </w:t>
      </w:r>
      <w:r>
        <w:t xml:space="preserve">staff and explicit human decisions. This suite manual explains setup,</w:t>
      </w:r>
      <w:r>
        <w:t xml:space="preserve"> </w:t>
      </w:r>
      <w:r>
        <w:t xml:space="preserve">shared operating procedures and cross-product handoffs, including the</w:t>
      </w:r>
      <w:r>
        <w:t xml:space="preserve"> </w:t>
      </w:r>
      <w:r>
        <w:t xml:space="preserve">bounded Access and Notice workflows. Station is separately configured.</w:t>
      </w:r>
      <w:r>
        <w:t xml:space="preserve"> </w:t>
      </w:r>
      <w:r>
        <w:t xml:space="preserve">Standalone CivicCast remains a separate product.</w:t>
      </w:r>
    </w:p>
    <w:p>
      <w:pPr>
        <w:pStyle w:val="BodyText"/>
      </w:pPr>
      <w:r>
        <w:t xml:space="preserve">Staff should start with First run and Connected workflows.</w:t>
      </w:r>
      <w:r>
        <w:t xml:space="preserve"> </w:t>
      </w:r>
      <w:r>
        <w:t xml:space="preserve">Administrators should read Architecture, Configuration, Security and</w:t>
      </w:r>
      <w:r>
        <w:t xml:space="preserve"> </w:t>
      </w:r>
      <w:r>
        <w:t xml:space="preserve">Recovery. Developers should use the API reference and per-product source</w:t>
      </w:r>
      <w:r>
        <w:t xml:space="preserve"> </w:t>
      </w:r>
      <w:r>
        <w:t xml:space="preserve">contracts. Each acceptance result applies only to the artifact</w:t>
      </w:r>
      <w:r>
        <w:t xml:space="preserve"> </w:t>
      </w:r>
      <w:r>
        <w:t xml:space="preserve">identified by its receipt.</w:t>
      </w:r>
    </w:p>
    <w:bookmarkEnd w:id="11"/>
    <w:bookmarkStart w:id="14" w:name="beta-identity"/>
    <w:p>
      <w:pPr>
        <w:pStyle w:val="Heading2"/>
      </w:pPr>
      <w:r>
        <w:t xml:space="preserve">Beta identity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Public documentation identity</w:t>
            </w:r>
          </w:p>
        </w:tc>
        <w:tc>
          <w:tcPr/>
          <w:p>
            <w:pPr>
              <w:pStyle w:val="Compact"/>
            </w:pPr>
            <w:r>
              <w:t xml:space="preserve">Townlight Beta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Intended installer version</w:t>
            </w:r>
          </w:p>
        </w:tc>
        <w:tc>
          <w:tcPr/>
          <w:p>
            <w:pPr>
              <w:pStyle w:val="Compact"/>
            </w:pPr>
            <w:r>
              <w:t xml:space="preserve">1.7.0.1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Native desktop source version</w:t>
            </w:r>
          </w:p>
        </w:tc>
        <w:tc>
          <w:tcPr/>
          <w:p>
            <w:pPr>
              <w:pStyle w:val="Compact"/>
            </w:pPr>
            <w:r>
              <w:t xml:space="preserve">1.7.0-1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Candidate artifact identity</w:t>
            </w:r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SHA-256 checksums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Windows acceptance summary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Corresponding source</w:t>
            </w:r>
          </w:p>
        </w:tc>
        <w:tc>
          <w:tcPr/>
          <w:p>
            <w:pPr>
              <w:pStyle w:val="Compact"/>
            </w:pPr>
            <w:r>
              <w:t xml:space="preserve">Released Windows x64 beta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Current owned software license</w:t>
            </w:r>
          </w:p>
        </w:tc>
        <w:tc>
          <w:tcPr/>
          <w:p>
            <w:pPr>
              <w:pStyle w:val="Compact"/>
            </w:pPr>
            <w:r>
              <w:t xml:space="preserve">AGPL-3.0-only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Supported acceptance profile</w:t>
            </w:r>
          </w:p>
        </w:tc>
        <w:tc>
          <w:tcPr/>
          <w:p>
            <w:pPr>
              <w:pStyle w:val="Compact"/>
            </w:pPr>
            <w:r>
              <w:t xml:space="preserve">Windows x64 fresh install; inspections-preview; separate Station</w:t>
            </w:r>
            <w:r>
              <w:t xml:space="preserve"> </w:t>
            </w:r>
            <w:r>
              <w:t xml:space="preserve">configuration</w:t>
            </w:r>
          </w:p>
        </w:tc>
      </w:tr>
    </w:tbl>
    <w:p>
      <w:pPr>
        <w:pStyle w:val="BodyText"/>
      </w:pPr>
      <w:r>
        <w:t xml:space="preserve">Use an empty database and fresh Windows profile. The installer refuses legacy profile initialization. The approved profile path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. Keep existing profiles and backups.</w:t>
      </w:r>
    </w:p>
    <w:bookmarkStart w:id="13" w:name="component-versions"/>
    <w:p>
      <w:pPr>
        <w:pStyle w:val="Heading3"/>
      </w:pPr>
      <w:r>
        <w:t xml:space="preserve">Component versions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</w:t>
            </w:r>
          </w:p>
        </w:tc>
        <w:tc>
          <w:tcPr/>
          <w:p>
            <w:pPr>
              <w:pStyle w:val="Compact"/>
            </w:pPr>
            <w:r>
              <w:t xml:space="preserve">Distribution</w:t>
            </w:r>
          </w:p>
        </w:tc>
        <w:tc>
          <w:tcPr/>
          <w:p>
            <w:pPr>
              <w:pStyle w:val="Compact"/>
            </w:pPr>
            <w:r>
              <w:t xml:space="preserve">Installed version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Core</w:t>
            </w:r>
          </w:p>
        </w:tc>
        <w:tc>
          <w:tcPr/>
          <w:p>
            <w:pPr>
              <w:pStyle w:val="Compact"/>
            </w:pPr>
            <w:r>
              <w:t xml:space="preserve">townlight-core</w:t>
            </w:r>
          </w:p>
        </w:tc>
        <w:tc>
          <w:tcPr/>
          <w:p>
            <w:pPr>
              <w:pStyle w:val="Compact"/>
            </w:pPr>
            <w:r>
              <w:t xml:space="preserve">1.3.0.dev2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Records</w:t>
            </w:r>
          </w:p>
        </w:tc>
        <w:tc>
          <w:tcPr/>
          <w:p>
            <w:pPr>
              <w:pStyle w:val="Compact"/>
            </w:pPr>
            <w:r>
              <w:t xml:space="preserve">townlight-records</w:t>
            </w:r>
          </w:p>
        </w:tc>
        <w:tc>
          <w:tcPr/>
          <w:p>
            <w:pPr>
              <w:pStyle w:val="Compact"/>
            </w:pPr>
            <w:r>
              <w:t xml:space="preserve">1.8.0.dev2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Meetings</w:t>
            </w:r>
          </w:p>
        </w:tc>
        <w:tc>
          <w:tcPr/>
          <w:p>
            <w:pPr>
              <w:pStyle w:val="Compact"/>
            </w:pPr>
            <w:r>
              <w:t xml:space="preserve">townlight-meetings</w:t>
            </w:r>
          </w:p>
        </w:tc>
        <w:tc>
          <w:tcPr/>
          <w:p>
            <w:pPr>
              <w:pStyle w:val="Compact"/>
            </w:pPr>
            <w:r>
              <w:t xml:space="preserve">1.0.5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townlight-code</w:t>
            </w:r>
          </w:p>
        </w:tc>
        <w:tc>
          <w:tcPr/>
          <w:p>
            <w:pPr>
              <w:pStyle w:val="Compact"/>
            </w:pPr>
            <w:r>
              <w:t xml:space="preserve">1.0.9</w:t>
            </w:r>
          </w:p>
        </w:tc>
      </w:tr>
      <w:tr>
        <w:tc>
          <w:tcPr/>
          <w:p>
            <w:pPr>
              <w:pStyle w:val="Compact"/>
            </w:pPr>
            <w:r>
              <w:t xml:space="preserve">Zoning</w:t>
            </w:r>
          </w:p>
        </w:tc>
        <w:tc>
          <w:tcPr/>
          <w:p>
            <w:pPr>
              <w:pStyle w:val="Compact"/>
            </w:pPr>
            <w:r>
              <w:t xml:space="preserve">townlight-zoning</w:t>
            </w:r>
          </w:p>
        </w:tc>
        <w:tc>
          <w:tcPr/>
          <w:p>
            <w:pPr>
              <w:pStyle w:val="Compact"/>
            </w:pPr>
            <w:r>
              <w:t xml:space="preserve">0.2.3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Planning</w:t>
            </w:r>
          </w:p>
        </w:tc>
        <w:tc>
          <w:tcPr/>
          <w:p>
            <w:pPr>
              <w:pStyle w:val="Compact"/>
            </w:pPr>
            <w:r>
              <w:t xml:space="preserve">townlight-planning</w:t>
            </w:r>
          </w:p>
        </w:tc>
        <w:tc>
          <w:tcPr/>
          <w:p>
            <w:pPr>
              <w:pStyle w:val="Compact"/>
            </w:pPr>
            <w:r>
              <w:t xml:space="preserve">0.4.0.dev2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Permitting</w:t>
            </w:r>
          </w:p>
        </w:tc>
        <w:tc>
          <w:tcPr/>
          <w:p>
            <w:pPr>
              <w:pStyle w:val="Compact"/>
            </w:pPr>
            <w:r>
              <w:t xml:space="preserve">townlight-permitting</w:t>
            </w:r>
          </w:p>
        </w:tc>
        <w:tc>
          <w:tcPr/>
          <w:p>
            <w:pPr>
              <w:pStyle w:val="Compact"/>
            </w:pPr>
            <w:r>
              <w:t xml:space="preserve">0.3.0+dev.2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Inspections</w:t>
            </w:r>
          </w:p>
        </w:tc>
        <w:tc>
          <w:tcPr/>
          <w:p>
            <w:pPr>
              <w:pStyle w:val="Compact"/>
            </w:pPr>
            <w:r>
              <w:t xml:space="preserve">townlight-inspections</w:t>
            </w:r>
          </w:p>
        </w:tc>
        <w:tc>
          <w:tcPr/>
          <w:p>
            <w:pPr>
              <w:pStyle w:val="Compact"/>
            </w:pPr>
            <w:r>
              <w:t xml:space="preserve">0.3.0+dev.2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Station</w:t>
            </w:r>
          </w:p>
        </w:tc>
        <w:tc>
          <w:tcPr/>
          <w:p>
            <w:pPr>
              <w:pStyle w:val="Compact"/>
            </w:pPr>
            <w:r>
              <w:t xml:space="preserve">townlight-station</w:t>
            </w:r>
          </w:p>
        </w:tc>
        <w:tc>
          <w:tcPr/>
          <w:p>
            <w:pPr>
              <w:pStyle w:val="Compact"/>
            </w:pPr>
            <w:r>
              <w:t xml:space="preserve">0.3.0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</w:t>
            </w:r>
          </w:p>
        </w:tc>
        <w:tc>
          <w:tcPr/>
          <w:p>
            <w:pPr>
              <w:pStyle w:val="Compact"/>
            </w:pPr>
            <w:r>
              <w:t xml:space="preserve">townlight-access</w:t>
            </w:r>
          </w:p>
        </w:tc>
        <w:tc>
          <w:tcPr/>
          <w:p>
            <w:pPr>
              <w:pStyle w:val="Compact"/>
            </w:pPr>
            <w:r>
              <w:t xml:space="preserve">0.5.0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Notice</w:t>
            </w:r>
          </w:p>
        </w:tc>
        <w:tc>
          <w:tcPr/>
          <w:p>
            <w:pPr>
              <w:pStyle w:val="Compact"/>
            </w:pPr>
            <w:r>
              <w:t xml:space="preserve">townlight-notice</w:t>
            </w:r>
          </w:p>
        </w:tc>
        <w:tc>
          <w:tcPr/>
          <w:p>
            <w:pPr>
              <w:pStyle w:val="Compact"/>
            </w:pPr>
            <w:r>
              <w:t xml:space="preserve">0.3.0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Local runtime</w:t>
            </w:r>
          </w:p>
        </w:tc>
        <w:tc>
          <w:tcPr/>
          <w:p>
            <w:pPr>
              <w:pStyle w:val="Compact"/>
            </w:pPr>
            <w:r>
              <w:t xml:space="preserve">townlight-runtime</w:t>
            </w:r>
          </w:p>
        </w:tc>
        <w:tc>
          <w:tcPr/>
          <w:p>
            <w:pPr>
              <w:pStyle w:val="Compact"/>
            </w:pPr>
            <w:r>
              <w:t xml:space="preserve">0.2.0</w:t>
            </w:r>
          </w:p>
        </w:tc>
      </w:tr>
    </w:tbl>
    <w:bookmarkEnd w:id="13"/>
    <w:bookmarkEnd w:id="14"/>
    <w:bookmarkStart w:id="15" w:name="first-run"/>
    <w:p>
      <w:pPr>
        <w:pStyle w:val="Heading2"/>
      </w:pPr>
      <w:r>
        <w:t xml:space="preserve">First run</w:t>
      </w:r>
    </w:p>
    <w:p>
      <w:pPr>
        <w:pStyle w:val="Compact"/>
        <w:numPr>
          <w:ilvl w:val="0"/>
          <w:numId w:val="1003"/>
        </w:numPr>
      </w:pPr>
      <w:r>
        <w:t xml:space="preserve">Download the signed MSI, matching source and checksums from the</w:t>
      </w:r>
      <w:r>
        <w:t xml:space="preserve"> </w:t>
      </w:r>
      <w:hyperlink r:id="rId9">
        <w:r>
          <w:rPr>
            <w:rStyle w:val="Hyperlink"/>
          </w:rPr>
          <w:t xml:space="preserve">Windows x64 beta 1.7.0.1</w:t>
        </w:r>
      </w:hyperlink>
      <w:r>
        <w:t xml:space="preserve"> </w:t>
      </w:r>
      <w:r>
        <w:t xml:space="preserve">release.</w:t>
      </w:r>
    </w:p>
    <w:p>
      <w:pPr>
        <w:pStyle w:val="Compact"/>
        <w:numPr>
          <w:ilvl w:val="0"/>
          <w:numId w:val="1003"/>
        </w:numPr>
      </w:pPr>
      <w:r>
        <w:t xml:space="preserve">Verify the MSI hash and Authenticode publisher before installing on a fresh Windows profile. See the</w:t>
      </w:r>
      <w:r>
        <w:t xml:space="preserve"> </w:t>
      </w:r>
      <w:hyperlink r:id="rId10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the tested setup.</w:t>
      </w:r>
    </w:p>
    <w:p>
      <w:pPr>
        <w:pStyle w:val="Compact"/>
        <w:numPr>
          <w:ilvl w:val="0"/>
          <w:numId w:val="1003"/>
        </w:numPr>
      </w:pPr>
      <w:r>
        <w:t xml:space="preserve">Launch Townlight under the intended named Windows account. Choose</w:t>
      </w:r>
      <w:r>
        <w:t xml:space="preserve"> </w:t>
      </w:r>
      <w:r>
        <w:t xml:space="preserve">the storage folders. Select</w:t>
      </w:r>
      <w:r>
        <w:t xml:space="preserve"> </w:t>
      </w:r>
      <w:r>
        <w:rPr>
          <w:b/>
          <w:bCs/>
        </w:rPr>
        <w:t xml:space="preserve">Townlight Inspections</w:t>
      </w:r>
      <w:r>
        <w:rPr>
          <w:b/>
          <w:bCs/>
        </w:rP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(</w:t>
      </w:r>
      <w:r>
        <w:rPr>
          <w:rStyle w:val="VerbatimChar"/>
        </w:rPr>
        <w:t xml:space="preserve">inspections-preview</w:t>
      </w:r>
      <w:r>
        <w:t xml:space="preserve">) for the bounded</w:t>
      </w:r>
      <w:r>
        <w:t xml:space="preserve"> </w:t>
      </w:r>
      <w:r>
        <w:t xml:space="preserve">desktop composition, including Access and Notice. A narrower selection</w:t>
      </w:r>
      <w:r>
        <w:t xml:space="preserve"> </w:t>
      </w:r>
      <w:r>
        <w:t xml:space="preserve">will not expose all workspaces.</w:t>
      </w:r>
    </w:p>
    <w:p>
      <w:pPr>
        <w:pStyle w:val="Compact"/>
        <w:numPr>
          <w:ilvl w:val="0"/>
          <w:numId w:val="1003"/>
        </w:numPr>
      </w:pPr>
      <w:r>
        <w:t xml:space="preserve">Enter the city profile, time zone and contacts. Create the first</w:t>
      </w:r>
      <w:r>
        <w:t xml:space="preserve"> </w:t>
      </w:r>
      <w:r>
        <w:t xml:space="preserve">named local administrator, sign in and choose protected backup storage.</w:t>
      </w:r>
      <w:r>
        <w:t xml:space="preserve"> </w:t>
      </w:r>
      <w:r>
        <w:rPr>
          <w:b/>
          <w:bCs/>
        </w:rPr>
        <w:t xml:space="preserve">Continue without local AI</w:t>
      </w:r>
      <w:r>
        <w:t xml:space="preserve"> </w:t>
      </w:r>
      <w:r>
        <w:t xml:space="preserve">is valid for the</w:t>
      </w:r>
      <w:r>
        <w:t xml:space="preserve"> </w:t>
      </w:r>
      <w:r>
        <w:t xml:space="preserve">deterministic workflows.</w:t>
      </w:r>
    </w:p>
    <w:p>
      <w:pPr>
        <w:pStyle w:val="Compact"/>
        <w:numPr>
          <w:ilvl w:val="0"/>
          <w:numId w:val="1003"/>
        </w:numPr>
      </w:pPr>
      <w:r>
        <w:t xml:space="preserve">Run Health Check and wait for readiness. Open Townlight. In System</w:t>
      </w:r>
      <w:r>
        <w:t xml:space="preserve"> </w:t>
      </w:r>
      <w:r>
        <w:t xml:space="preserve">Health select</w:t>
      </w:r>
      <w:r>
        <w:t xml:space="preserve"> </w:t>
      </w:r>
      <w:r>
        <w:rPr>
          <w:b/>
          <w:bCs/>
        </w:rPr>
        <w:t xml:space="preserve">Finish Records Migration</w:t>
      </w:r>
      <w:r>
        <w:t xml:space="preserve"> </w:t>
      </w:r>
      <w:r>
        <w:t xml:space="preserve">to activate the</w:t>
      </w:r>
      <w:r>
        <w:t xml:space="preserve"> </w:t>
      </w:r>
      <w:r>
        <w:t xml:space="preserve">canonical Python/PostgreSQL runtime. Do not fabricate migration receipts</w:t>
      </w:r>
      <w:r>
        <w:t xml:space="preserve"> </w:t>
      </w:r>
      <w:r>
        <w:t xml:space="preserve">or seed accounts.</w:t>
      </w:r>
    </w:p>
    <w:p>
      <w:pPr>
        <w:pStyle w:val="Compact"/>
        <w:numPr>
          <w:ilvl w:val="0"/>
          <w:numId w:val="1003"/>
        </w:numPr>
      </w:pPr>
      <w:r>
        <w:t xml:space="preserve">Create named staff through Settings. Import authorized sources using</w:t>
      </w:r>
      <w:r>
        <w:t xml:space="preserve"> </w:t>
      </w:r>
      <w:r>
        <w:t xml:space="preserve">each product’s source library. All examples in this package are</w:t>
      </w:r>
      <w:r>
        <w:t xml:space="preserve"> </w:t>
      </w:r>
      <w:r>
        <w:t xml:space="preserve">synthetic; they are not municipal authority.</w:t>
      </w:r>
    </w:p>
    <w:p>
      <w:pPr>
        <w:pStyle w:val="Compact"/>
        <w:numPr>
          <w:ilvl w:val="0"/>
          <w:numId w:val="1003"/>
        </w:numPr>
      </w:pPr>
      <w:r>
        <w:t xml:space="preserve">Provision Station separately if it is part of the beta exercise.</w:t>
      </w:r>
      <w:r>
        <w:t xml:space="preserve"> </w:t>
      </w:r>
      <w:r>
        <w:t xml:space="preserve">Selecting the desktop composition does not start or configure Station.</w:t>
      </w:r>
      <w:r>
        <w:t xml:space="preserve"> </w:t>
      </w:r>
      <w:r>
        <w:t xml:space="preserve">Configure vision explicitly only if automatic photo drafting is</w:t>
      </w:r>
      <w:r>
        <w:t xml:space="preserve"> </w:t>
      </w:r>
      <w:r>
        <w:t xml:space="preserve">selected.</w:t>
      </w:r>
    </w:p>
    <w:bookmarkEnd w:id="15"/>
    <w:bookmarkStart w:id="16" w:name="daily-workflow"/>
    <w:p>
      <w:pPr>
        <w:pStyle w:val="Heading2"/>
      </w:pPr>
      <w:r>
        <w:t xml:space="preserve">Daily workflow</w:t>
      </w:r>
    </w:p>
    <w:p>
      <w:pPr>
        <w:pStyle w:val="FirstParagraph"/>
      </w:pPr>
      <w:r>
        <w:t xml:space="preserve">Sign in with your own named account. Confirm the selected workspace,</w:t>
      </w:r>
      <w:r>
        <w:t xml:space="preserve"> </w:t>
      </w:r>
      <w:r>
        <w:t xml:space="preserve">open a saved record and check its source/version before editing. Save</w:t>
      </w:r>
      <w:r>
        <w:t xml:space="preserve"> </w:t>
      </w:r>
      <w:r>
        <w:t xml:space="preserve">the work, record the intended review and inspect its audience. Use an</w:t>
      </w:r>
      <w:r>
        <w:t xml:space="preserve"> </w:t>
      </w:r>
      <w:r>
        <w:t xml:space="preserve">explicit export or cross-product selection when a copy is required. Sign</w:t>
      </w:r>
      <w:r>
        <w:t xml:space="preserve"> </w:t>
      </w:r>
      <w:r>
        <w:t xml:space="preserve">out when finished. Use the product manual for its field-level</w:t>
      </w:r>
      <w:r>
        <w:t xml:space="preserve"> </w:t>
      </w:r>
      <w:r>
        <w:t xml:space="preserve">procedure.</w:t>
      </w:r>
    </w:p>
    <w:p>
      <w:pPr>
        <w:pStyle w:val="BodyText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bookmarkEnd w:id="16"/>
    <w:bookmarkStart w:id="31" w:name="connected-workflows"/>
    <w:p>
      <w:pPr>
        <w:pStyle w:val="Heading2"/>
      </w:pPr>
      <w:r>
        <w:t xml:space="preserve">Connected workflows</w:t>
      </w:r>
    </w:p>
    <w:bookmarkStart w:id="17" w:name="meeting-capture-to-a-records-response"/>
    <w:p>
      <w:pPr>
        <w:pStyle w:val="Heading3"/>
      </w:pPr>
      <w:r>
        <w:t xml:space="preserve">Meeting capture to a</w:t>
      </w:r>
      <w:r>
        <w:t xml:space="preserve"> </w:t>
      </w:r>
      <w:r>
        <w:t xml:space="preserve">Records response</w:t>
      </w:r>
    </w:p>
    <w:p>
      <w:pPr>
        <w:pStyle w:val="Compact"/>
        <w:numPr>
          <w:ilvl w:val="0"/>
          <w:numId w:val="1004"/>
        </w:numPr>
      </w:pPr>
      <w:r>
        <w:t xml:space="preserve">Meetings staff create the meeting and assign agenda items; save the</w:t>
      </w:r>
      <w:r>
        <w:t xml:space="preserve"> </w:t>
      </w:r>
      <w:r>
        <w:t xml:space="preserve">canonical records.</w:t>
      </w:r>
    </w:p>
    <w:p>
      <w:pPr>
        <w:pStyle w:val="Compact"/>
        <w:numPr>
          <w:ilvl w:val="0"/>
          <w:numId w:val="1004"/>
        </w:numPr>
      </w:pPr>
      <w:r>
        <w:t xml:space="preserve">An authorized Station operator opens a one-use staff launch, chooses</w:t>
      </w:r>
      <w:r>
        <w:t xml:space="preserve"> </w:t>
      </w:r>
      <w:r>
        <w:t xml:space="preserve">that meeting and a configured live input or managed file, then starts</w:t>
      </w:r>
      <w:r>
        <w:t xml:space="preserve"> </w:t>
      </w:r>
      <w:r>
        <w:t xml:space="preserve">capture.</w:t>
      </w:r>
    </w:p>
    <w:p>
      <w:pPr>
        <w:pStyle w:val="Compact"/>
        <w:numPr>
          <w:ilvl w:val="0"/>
          <w:numId w:val="1004"/>
        </w:numPr>
      </w:pPr>
      <w:r>
        <w:t xml:space="preserve">Stop and wait for completed validated media. Inspect the content and</w:t>
      </w:r>
      <w:r>
        <w:t xml:space="preserve"> </w:t>
      </w:r>
      <w:r>
        <w:t xml:space="preserve">provenance. Partial/failed attempts stay separate.</w:t>
      </w:r>
    </w:p>
    <w:p>
      <w:pPr>
        <w:pStyle w:val="Compact"/>
        <w:numPr>
          <w:ilvl w:val="0"/>
          <w:numId w:val="1004"/>
        </w:numPr>
      </w:pPr>
      <w:r>
        <w:t xml:space="preserve">Records-authorized staff explicitly attach the completed recording</w:t>
      </w:r>
      <w:r>
        <w:t xml:space="preserve"> </w:t>
      </w:r>
      <w:r>
        <w:t xml:space="preserve">to an existing request. The receiver verifies bytes/hash and retains one</w:t>
      </w:r>
      <w:r>
        <w:t xml:space="preserve"> </w:t>
      </w:r>
      <w:r>
        <w:t xml:space="preserve">locked private original, including on an identical retry.</w:t>
      </w:r>
    </w:p>
    <w:p>
      <w:pPr>
        <w:pStyle w:val="Compact"/>
        <w:numPr>
          <w:ilvl w:val="0"/>
          <w:numId w:val="1004"/>
        </w:numPr>
      </w:pPr>
      <w:r>
        <w:t xml:space="preserve">Records separately prepares any release copy, records</w:t>
      </w:r>
      <w:r>
        <w:t xml:space="preserve"> </w:t>
      </w:r>
      <w:r>
        <w:t xml:space="preserve">release/redact/exempt decisions, approves exact response text, exports</w:t>
      </w:r>
      <w:r>
        <w:t xml:space="preserve"> </w:t>
      </w:r>
      <w:r>
        <w:t xml:space="preserve">the response/package and fulfills the request. Capture and handoff do</w:t>
      </w:r>
      <w:r>
        <w:t xml:space="preserve"> </w:t>
      </w:r>
      <w:r>
        <w:t xml:space="preserve">not publish it.</w:t>
      </w:r>
    </w:p>
    <w:bookmarkEnd w:id="17"/>
    <w:bookmarkStart w:id="18" w:name="legislation-to-cited-staff-guidance"/>
    <w:p>
      <w:pPr>
        <w:pStyle w:val="Heading3"/>
      </w:pPr>
      <w:r>
        <w:t xml:space="preserve">Legislation to cited staff</w:t>
      </w:r>
      <w:r>
        <w:t xml:space="preserve"> </w:t>
      </w:r>
      <w:r>
        <w:t xml:space="preserve">guidance</w:t>
      </w:r>
    </w:p>
    <w:p>
      <w:pPr>
        <w:pStyle w:val="FirstParagraph"/>
      </w:pPr>
      <w:r>
        <w:t xml:space="preserve">Code imports a retained source and creates a proposal connection to</w:t>
      </w:r>
      <w:r>
        <w:t xml:space="preserve"> </w:t>
      </w:r>
      <w:r>
        <w:t xml:space="preserve">actual Meetings evidence. Authorized staff record adoption, then a</w:t>
      </w:r>
      <w:r>
        <w:t xml:space="preserve"> </w:t>
      </w:r>
      <w:r>
        <w:t xml:space="preserve">separate codification decision. Zoning uses the cited Code context with</w:t>
      </w:r>
      <w:r>
        <w:t xml:space="preserve"> </w:t>
      </w:r>
      <w:r>
        <w:t xml:space="preserve">imported parcels and rules. Permitting and Inspections select permitted</w:t>
      </w:r>
      <w:r>
        <w:t xml:space="preserve"> </w:t>
      </w:r>
      <w:r>
        <w:t xml:space="preserve">cited authority for reviewed workpapers. An import, draft or meeting</w:t>
      </w:r>
      <w:r>
        <w:t xml:space="preserve"> </w:t>
      </w:r>
      <w:r>
        <w:t xml:space="preserve">motion does not replace the actual adoption/codification decisions.</w:t>
      </w:r>
    </w:p>
    <w:bookmarkEnd w:id="18"/>
    <w:bookmarkStart w:id="19" w:name="policy-and-land-use-evidence-to-records"/>
    <w:p>
      <w:pPr>
        <w:pStyle w:val="Heading3"/>
      </w:pPr>
      <w:r>
        <w:t xml:space="preserve">Policy and land-use</w:t>
      </w:r>
      <w:r>
        <w:t xml:space="preserve"> </w:t>
      </w:r>
      <w:r>
        <w:t xml:space="preserve">evidence to Records</w:t>
      </w:r>
    </w:p>
    <w:p>
      <w:pPr>
        <w:pStyle w:val="FirstParagraph"/>
      </w:pPr>
      <w:r>
        <w:t xml:space="preserve">Planning imports adopted policy revisions, including neighborhood</w:t>
      </w:r>
      <w:r>
        <w:t xml:space="preserve"> </w:t>
      </w:r>
      <w:r>
        <w:t xml:space="preserve">applicability, and selects permitted Meetings/Zoning evidence. Staff</w:t>
      </w:r>
      <w:r>
        <w:t xml:space="preserve"> </w:t>
      </w:r>
      <w:r>
        <w:t xml:space="preserve">save and review the exact analysis, then create the audience-specific</w:t>
      </w:r>
      <w:r>
        <w:t xml:space="preserve"> </w:t>
      </w:r>
      <w:r>
        <w:t xml:space="preserve">snapshot. Planning initiatives/amendments retain their own history.</w:t>
      </w:r>
      <w:r>
        <w:t xml:space="preserve"> </w:t>
      </w:r>
      <w:r>
        <w:t xml:space="preserve">Permitting and Inspections independently review their saved cases and</w:t>
      </w:r>
      <w:r>
        <w:t xml:space="preserve"> </w:t>
      </w:r>
      <w:r>
        <w:t xml:space="preserve">prepare separate Records copies. Records rechecks the</w:t>
      </w:r>
      <w:r>
        <w:t xml:space="preserve"> </w:t>
      </w:r>
      <w:r>
        <w:t xml:space="preserve">source/version/hash and owns the response release. Private notes and</w:t>
      </w:r>
      <w:r>
        <w:t xml:space="preserve"> </w:t>
      </w:r>
      <w:r>
        <w:t xml:space="preserve">contact/property details must not be copied by relabeling a staff</w:t>
      </w:r>
      <w:r>
        <w:t xml:space="preserve"> </w:t>
      </w:r>
      <w:r>
        <w:t xml:space="preserve">packet.</w:t>
      </w:r>
    </w:p>
    <w:bookmarkEnd w:id="19"/>
    <w:bookmarkStart w:id="20" w:name="shared-foundation-and-recovery"/>
    <w:p>
      <w:pPr>
        <w:pStyle w:val="Heading3"/>
      </w:pPr>
      <w:r>
        <w:t xml:space="preserve">Shared foundation and</w:t>
      </w:r>
      <w:r>
        <w:t xml:space="preserve"> </w:t>
      </w:r>
      <w:r>
        <w:t xml:space="preserve">recovery</w:t>
      </w:r>
    </w:p>
    <w:p>
      <w:pPr>
        <w:pStyle w:val="FirstParagraph"/>
      </w:pPr>
      <w:r>
        <w:t xml:space="preserve">Core provides shared contracts, named account/session support,</w:t>
      </w:r>
      <w:r>
        <w:t xml:space="preserve"> </w:t>
      </w:r>
      <w:r>
        <w:t xml:space="preserve">ingestion/task helpers and coherent recovery. Supporting Notice and</w:t>
      </w:r>
      <w:r>
        <w:t xml:space="preserve"> </w:t>
      </w:r>
      <w:r>
        <w:t xml:space="preserve">Access are included where selected. These relationships do not establish</w:t>
      </w:r>
      <w:r>
        <w:t xml:space="preserve"> </w:t>
      </w:r>
      <w:r>
        <w:t xml:space="preserve">all 56 directed product pairs, universal vendor integration or</w:t>
      </w:r>
      <w:r>
        <w:t xml:space="preserve"> </w:t>
      </w:r>
      <w:r>
        <w:t xml:space="preserve">unrestricted federation.</w:t>
      </w:r>
    </w:p>
    <w:bookmarkEnd w:id="20"/>
    <w:bookmarkStart w:id="30" w:name="product-guide-directory"/>
    <w:p>
      <w:pPr>
        <w:pStyle w:val="Heading3"/>
      </w:pPr>
      <w:r>
        <w:t xml:space="preserve">Product guide directory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Manual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Core</w:t>
            </w:r>
          </w:p>
        </w:tc>
        <w:tc>
          <w:tcPr/>
          <w:p>
            <w:pPr>
              <w:pStyle w:val="Compact"/>
            </w:pPr>
            <w:r>
              <w:t xml:space="preserve">A shared foundation for accountable municipal work.</w:t>
            </w:r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Hyperlink"/>
                </w:rPr>
                <w:t xml:space="preserve">Core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Records</w:t>
            </w:r>
          </w:p>
        </w:tc>
        <w:tc>
          <w:tcPr/>
          <w:p>
            <w:pPr>
              <w:pStyle w:val="Compact"/>
            </w:pPr>
            <w:r>
              <w:t xml:space="preserve">From request intake to a deliberate release.</w:t>
            </w:r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Records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Meetings</w:t>
            </w:r>
          </w:p>
        </w:tc>
        <w:tc>
          <w:tcPr/>
          <w:p>
            <w:pPr>
              <w:pStyle w:val="Compact"/>
            </w:pPr>
            <w:r>
              <w:t xml:space="preserve">Keep the agenda, decisions and evidence connected.</w:t>
            </w:r>
          </w:p>
        </w:tc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Meetings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Trace every section to its source and history.</w:t>
            </w:r>
          </w:p>
        </w:tc>
        <w:tc>
          <w:tcPr/>
          <w:p>
            <w:pPr>
              <w:pStyle w:val="Compact"/>
            </w:pPr>
            <w:hyperlink r:id="rId24">
              <w:r>
                <w:rPr>
                  <w:rStyle w:val="Hyperlink"/>
                </w:rPr>
                <w:t xml:space="preserve">Code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Zoning</w:t>
            </w:r>
          </w:p>
        </w:tc>
        <w:tc>
          <w:tcPr/>
          <w:p>
            <w:pPr>
              <w:pStyle w:val="Compact"/>
            </w:pPr>
            <w:r>
              <w:t xml:space="preserve">Bring parcel context and cited rules into one review.</w:t>
            </w:r>
          </w:p>
        </w:tc>
        <w:tc>
          <w:tcPr/>
          <w:p>
            <w:pPr>
              <w:pStyle w:val="Compact"/>
            </w:pPr>
            <w:hyperlink r:id="rId25">
              <w:r>
                <w:rPr>
                  <w:rStyle w:val="Hyperlink"/>
                </w:rPr>
                <w:t xml:space="preserve">Zoning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Planning</w:t>
            </w:r>
          </w:p>
        </w:tc>
        <w:tc>
          <w:tcPr/>
          <w:p>
            <w:pPr>
              <w:pStyle w:val="Compact"/>
            </w:pPr>
            <w:r>
              <w:t xml:space="preserve">Connect policy, analysis and municipal progress.</w:t>
            </w:r>
          </w:p>
        </w:tc>
        <w:tc>
          <w:tcPr/>
          <w:p>
            <w:pPr>
              <w:pStyle w:val="Compact"/>
            </w:pPr>
            <w:hyperlink r:id="rId26">
              <w:r>
                <w:rPr>
                  <w:rStyle w:val="Hyperlink"/>
                </w:rPr>
                <w:t xml:space="preserve">Planning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Permitting</w:t>
            </w:r>
          </w:p>
        </w:tc>
        <w:tc>
          <w:tcPr/>
          <w:p>
            <w:pPr>
              <w:pStyle w:val="Compact"/>
            </w:pPr>
            <w:r>
              <w:t xml:space="preserve">Prepare a complete, cited intake for staff review.</w:t>
            </w:r>
          </w:p>
        </w:tc>
        <w:tc>
          <w:tcPr/>
          <w:p>
            <w:pPr>
              <w:pStyle w:val="Compact"/>
            </w:pPr>
            <w:hyperlink r:id="rId27">
              <w:r>
                <w:rPr>
                  <w:rStyle w:val="Hyperlink"/>
                </w:rPr>
                <w:t xml:space="preserve">Permitting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Inspections</w:t>
            </w:r>
          </w:p>
        </w:tc>
        <w:tc>
          <w:tcPr/>
          <w:p>
            <w:pPr>
              <w:pStyle w:val="Compact"/>
            </w:pPr>
            <w:r>
              <w:t xml:space="preserve">Preserve evidence and review every draft finding.</w:t>
            </w:r>
          </w:p>
        </w:tc>
        <w:tc>
          <w:tcPr/>
          <w:p>
            <w:pPr>
              <w:pStyle w:val="Compact"/>
            </w:pPr>
            <w:hyperlink r:id="rId28">
              <w:r>
                <w:rPr>
                  <w:rStyle w:val="Hyperlink"/>
                </w:rPr>
                <w:t xml:space="preserve">Inspections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Station</w:t>
            </w:r>
          </w:p>
        </w:tc>
        <w:tc>
          <w:tcPr/>
          <w:p>
            <w:pPr>
              <w:pStyle w:val="Compact"/>
            </w:pPr>
            <w:r>
              <w:t xml:space="preserve">Capture the meeting and preserve its evidence.</w:t>
            </w:r>
          </w:p>
        </w:tc>
        <w:tc>
          <w:tcPr/>
          <w:p>
            <w:pPr>
              <w:pStyle w:val="Compact"/>
            </w:pPr>
            <w:hyperlink r:id="rId29">
              <w:r>
                <w:rPr>
                  <w:rStyle w:val="Hyperlink"/>
                </w:rPr>
                <w:t xml:space="preserve">Station</w:t>
              </w:r>
            </w:hyperlink>
          </w:p>
        </w:tc>
      </w:tr>
    </w:tbl>
    <w:bookmarkEnd w:id="30"/>
    <w:bookmarkEnd w:id="31"/>
    <w:bookmarkStart w:id="35" w:name="architecture"/>
    <w:p>
      <w:pPr>
        <w:pStyle w:val="Heading2"/>
      </w:pPr>
      <w:r>
        <w:t xml:space="preserve">Architecture</w:t>
      </w:r>
    </w:p>
    <w:p>
      <w:pPr>
        <w:pStyle w:val="FirstParagraph"/>
      </w:pPr>
      <w:r>
        <w:drawing>
          <wp:inline>
            <wp:extent cx="5334000" cy="1889125"/>
            <wp:effectExtent b="0" l="0" r="0" t="0"/>
            <wp:docPr descr="Townlight Suite architecture and evidence flow" title="" id="33" name="Picture"/>
            <a:graphic>
              <a:graphicData uri="http://schemas.openxmlformats.org/drawingml/2006/picture">
                <pic:pic>
                  <pic:nvPicPr>
                    <pic:cNvPr descr="C:/Users/scott/Documents/Codex/2026-11-02/rea/work/combined-candidate/repos/townlight.github.io/assets/word/suite-architectur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9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drawing shows the principal staff/evidence path. Native commands</w:t>
      </w:r>
      <w:r>
        <w:t xml:space="preserve"> </w:t>
      </w:r>
      <w:r>
        <w:t xml:space="preserve">carry trusted identity to Python business services; PostgreSQL and</w:t>
      </w:r>
      <w:r>
        <w:t xml:space="preserve"> </w:t>
      </w:r>
      <w:r>
        <w:t xml:space="preserve">retained original files hold durable state. A downstream copy does not</w:t>
      </w:r>
      <w:r>
        <w:t xml:space="preserve"> </w:t>
      </w:r>
      <w:r>
        <w:t xml:space="preserve">silently transfer decision authority. Station has its own configured</w:t>
      </w:r>
      <w:r>
        <w:t xml:space="preserve"> </w:t>
      </w:r>
      <w:r>
        <w:t xml:space="preserve">authority/media boundary, database and mutable files. The</w:t>
      </w:r>
      <w:r>
        <w:t xml:space="preserve"> </w:t>
      </w:r>
      <w:r>
        <w:t xml:space="preserve">connected-workflow text supplies the drawing’s reading order and</w:t>
      </w:r>
      <w:r>
        <w:t xml:space="preserve"> </w:t>
      </w:r>
      <w:r>
        <w:t xml:space="preserve">accessibility alternative.</w:t>
      </w:r>
    </w:p>
    <w:bookmarkEnd w:id="35"/>
    <w:bookmarkStart w:id="45" w:name="existing-product-operating-guides"/>
    <w:p>
      <w:pPr>
        <w:pStyle w:val="Heading2"/>
      </w:pPr>
      <w:r>
        <w:t xml:space="preserve">Existing product operating</w:t>
      </w:r>
      <w:r>
        <w:t xml:space="preserve"> </w:t>
      </w:r>
      <w:r>
        <w:t xml:space="preserve">guides</w:t>
      </w:r>
    </w:p>
    <w:p>
      <w:pPr>
        <w:pStyle w:val="FirstParagraph"/>
      </w:pPr>
      <w:r>
        <w:t xml:space="preserve">Use each product’s operating chapter for its actual controls, inputs,</w:t>
      </w:r>
      <w:r>
        <w:t xml:space="preserve"> </w:t>
      </w:r>
      <w:r>
        <w:t xml:space="preserve">readback and refusal states. The suite coordinates evidence and</w:t>
      </w:r>
      <w:r>
        <w:t xml:space="preserve"> </w:t>
      </w:r>
      <w:r>
        <w:t xml:space="preserve">authority; it does not replace those product decisions. Station requires</w:t>
      </w:r>
      <w:r>
        <w:t xml:space="preserve"> </w:t>
      </w:r>
      <w:r>
        <w:t xml:space="preserve">an explicitly configured paired runtime and its separate operating</w:t>
      </w:r>
      <w:r>
        <w:t xml:space="preserve"> </w:t>
      </w:r>
      <w:r>
        <w:t xml:space="preserve">procedure. The Code importer submits directly; Planning’s source library</w:t>
      </w:r>
      <w:r>
        <w:t xml:space="preserve"> </w:t>
      </w:r>
      <w:r>
        <w:t xml:space="preserve">has its own preview/confirmation flow.</w:t>
      </w:r>
    </w:p>
    <w:p>
      <w:pPr>
        <w:pStyle w:val="Compact"/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Core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operating procedure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Records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operating procedure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Meetings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operating procedure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Code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operating procedure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Zoning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operating procedure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Planning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operating procedure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Permitting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operating procedure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Inspections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operating procedure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Station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operating procedure</w:t>
        </w:r>
      </w:hyperlink>
      <w:r>
        <w:t xml:space="preserve">.</w:t>
      </w:r>
    </w:p>
    <w:bookmarkEnd w:id="45"/>
    <w:bookmarkStart w:id="52" w:name="technical-specifications"/>
    <w:p>
      <w:pPr>
        <w:pStyle w:val="Heading2"/>
      </w:pPr>
      <w:r>
        <w:t xml:space="preserve">Technical specifications</w:t>
      </w:r>
    </w:p>
    <w:bookmarkStart w:id="46" w:name="runtime-and-storage"/>
    <w:p>
      <w:pPr>
        <w:pStyle w:val="Heading3"/>
      </w:pPr>
      <w:r>
        <w:t xml:space="preserve">Runtime and storage</w:t>
      </w:r>
    </w:p>
    <w:p>
      <w:pPr>
        <w:pStyle w:val="FirstParagraph"/>
      </w:pPr>
      <w:r>
        <w:t xml:space="preserve">The accepted package targets</w:t>
      </w:r>
      <w:r>
        <w:t xml:space="preserve"> </w:t>
      </w:r>
      <w:r>
        <w:rPr>
          <w:b/>
          <w:bCs/>
        </w:rPr>
        <w:t xml:space="preserve">Windows x64 fresh</w:t>
      </w:r>
      <w:r>
        <w:rPr>
          <w:b/>
          <w:bCs/>
        </w:rPr>
        <w:t xml:space="preserve"> </w:t>
      </w:r>
      <w:r>
        <w:rPr>
          <w:b/>
          <w:bCs/>
        </w:rPr>
        <w:t xml:space="preserve">installation</w:t>
      </w:r>
      <w:r>
        <w:t xml:space="preserve">. Its native shell uses</w:t>
      </w:r>
      <w:r>
        <w:t xml:space="preserve"> </w:t>
      </w:r>
      <w:r>
        <w:rPr>
          <w:b/>
          <w:bCs/>
        </w:rPr>
        <w:t xml:space="preserve">Rust 2021, Tauri 2</w:t>
      </w:r>
      <w:r>
        <w:rPr>
          <w:b/>
          <w:bCs/>
        </w:rPr>
        <w:t xml:space="preserve"> </w:t>
      </w:r>
      <w:r>
        <w:rPr>
          <w:b/>
          <w:bCs/>
        </w:rPr>
        <w:t xml:space="preserve">and Microsoft WebView2</w:t>
      </w:r>
      <w:r>
        <w:t xml:space="preserve">; browser assets are JavaScript built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Vite 8.1.6</w:t>
      </w:r>
      <w:r>
        <w:t xml:space="preserve">. This describes the native desktop</w:t>
      </w:r>
      <w:r>
        <w:t xml:space="preserve"> </w:t>
      </w:r>
      <w:r>
        <w:t xml:space="preserve">frontend; Station has a separate React operator, specified below or in</w:t>
      </w:r>
      <w:r>
        <w:t xml:space="preserve"> </w:t>
      </w:r>
      <w:r>
        <w:t xml:space="preserve">its product manual. Canonical business workflows use bundled</w:t>
      </w:r>
      <w:r>
        <w:t xml:space="preserve"> </w:t>
      </w:r>
      <w:r>
        <w:rPr>
          <w:b/>
          <w:bCs/>
        </w:rPr>
        <w:t xml:space="preserve">CPython 3.13.5, FastAPI, Pydantic, SQLAlchemy and</w:t>
      </w:r>
      <w:r>
        <w:rPr>
          <w:b/>
          <w:bCs/>
        </w:rPr>
        <w:t xml:space="preserve"> </w:t>
      </w:r>
      <w:r>
        <w:rPr>
          <w:b/>
          <w:bCs/>
        </w:rPr>
        <w:t xml:space="preserve">Alembic</w:t>
      </w:r>
      <w:r>
        <w:t xml:space="preserve">, with</w:t>
      </w:r>
      <w:r>
        <w:t xml:space="preserve"> </w:t>
      </w:r>
      <w:r>
        <w:rPr>
          <w:b/>
          <w:bCs/>
        </w:rPr>
        <w:t xml:space="preserve">PostgreSQL 17 / PostGIS</w:t>
      </w:r>
      <w:r>
        <w:t xml:space="preserve"> </w:t>
      </w:r>
      <w:r>
        <w:t xml:space="preserve">and</w:t>
      </w:r>
      <w:r>
        <w:t xml:space="preserve"> </w:t>
      </w:r>
      <w:r>
        <w:t xml:space="preserve">managed original files. The installed runtime tested here contains</w:t>
      </w:r>
      <w:r>
        <w:t xml:space="preserve"> </w:t>
      </w:r>
      <w:r>
        <w:t xml:space="preserve">FastAPI 0.162.0. Package minimum Python requirements can differ from the</w:t>
      </w:r>
      <w:r>
        <w:t xml:space="preserve"> </w:t>
      </w:r>
      <w:r>
        <w:t xml:space="preserve">bundled executable; the metadata reference preserves both. No stack</w:t>
      </w:r>
      <w:r>
        <w:t xml:space="preserve"> </w:t>
      </w:r>
      <w:r>
        <w:t xml:space="preserve">rewrite is implied by the beta label.</w:t>
      </w:r>
    </w:p>
    <w:p>
      <w:pPr>
        <w:pStyle w:val="BodyText"/>
      </w:pPr>
      <w:r>
        <w:t xml:space="preserve">The native transport is fixed to loopback</w:t>
      </w:r>
      <w:r>
        <w:t xml:space="preserve"> </w:t>
      </w:r>
      <w:r>
        <w:rPr>
          <w:rStyle w:val="VerbatimChar"/>
        </w:rPr>
        <w:t xml:space="preserve">127.0.0.1:15480</w:t>
      </w:r>
      <w:r>
        <w:t xml:space="preserve">; PostgreSQL uses the configured local</w:t>
      </w:r>
      <w:r>
        <w:t xml:space="preserve"> </w:t>
      </w:r>
      <w:r>
        <w:t xml:space="preserve">runtime port (default</w:t>
      </w:r>
      <w:r>
        <w:t xml:space="preserve"> </w:t>
      </w:r>
      <w:r>
        <w:rPr>
          <w:rStyle w:val="VerbatimChar"/>
        </w:rPr>
        <w:t xml:space="preserve">15432</w:t>
      </w:r>
      <w:r>
        <w:t xml:space="preserve">). Optional local model service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127.0.0.1:15434</w:t>
      </w:r>
      <w:r>
        <w:t xml:space="preserve">. Those are deployment defaults,</w:t>
      </w:r>
      <w:r>
        <w:t xml:space="preserve"> </w:t>
      </w:r>
      <w:r>
        <w:t xml:space="preserve">not internet endpoints. The runtime has health, module and readiness</w:t>
      </w:r>
      <w:r>
        <w:t xml:space="preserve"> </w:t>
      </w:r>
      <w:r>
        <w:t xml:space="preserve">endpoints; readiness is stronger than process existence. The task queue</w:t>
      </w:r>
      <w:r>
        <w:t xml:space="preserve"> </w:t>
      </w:r>
      <w:r>
        <w:t xml:space="preserve">is the existing local Core task infrastructure, not an assertion that a</w:t>
      </w:r>
      <w:r>
        <w:t xml:space="preserve"> </w:t>
      </w:r>
      <w:r>
        <w:t xml:space="preserve">separate Redis service is required for this desktop composition.</w:t>
      </w:r>
    </w:p>
    <w:p>
      <w:pPr>
        <w:pStyle w:val="BodyText"/>
      </w:pPr>
      <w:r>
        <w:t xml:space="preserve">The default native profile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;</w:t>
      </w:r>
      <w:r>
        <w:t xml:space="preserve"> </w:t>
      </w:r>
      <w:r>
        <w:t xml:space="preserve">the historical directory name remains part of compatibility. Do not</w:t>
      </w:r>
      <w:r>
        <w:t xml:space="preserve"> </w:t>
      </w:r>
      <w:r>
        <w:t xml:space="preserve">rename it to Townlight. A configured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 </w:t>
      </w:r>
      <w:r>
        <w:t xml:space="preserve">must be absolute. Local configuration and secrets live under that</w:t>
      </w:r>
      <w:r>
        <w:t xml:space="preserve"> </w:t>
      </w:r>
      <w:r>
        <w:t xml:space="preserve">profile; protected managed files and database state must be backed up</w:t>
      </w:r>
      <w:r>
        <w:t xml:space="preserve"> </w:t>
      </w:r>
      <w:r>
        <w:t xml:space="preserve">coherently. Source/runtime identity is distinct from a product’s display</w:t>
      </w:r>
      <w:r>
        <w:t xml:space="preserve"> </w:t>
      </w:r>
      <w:r>
        <w:t xml:space="preserve">label.</w:t>
      </w:r>
    </w:p>
    <w:bookmarkEnd w:id="46"/>
    <w:bookmarkStart w:id="47" w:name="data-and-consistency"/>
    <w:p>
      <w:pPr>
        <w:pStyle w:val="Heading3"/>
      </w:pPr>
      <w:r>
        <w:t xml:space="preserve">Data and consistency</w:t>
      </w:r>
    </w:p>
    <w:p>
      <w:pPr>
        <w:pStyle w:val="FirstParagraph"/>
      </w:pPr>
      <w:r>
        <w:t xml:space="preserve">Each product retains the records described in its manual. The common</w:t>
      </w:r>
      <w:r>
        <w:t xml:space="preserve"> </w:t>
      </w:r>
      <w:r>
        <w:t xml:space="preserve">desktop uses one canonical PostgreSQL-backed domain with product-owned</w:t>
      </w:r>
      <w:r>
        <w:t xml:space="preserve"> </w:t>
      </w:r>
      <w:r>
        <w:t xml:space="preserve">tables/schemas and managed file storage. Station has a separate database</w:t>
      </w:r>
      <w:r>
        <w:t xml:space="preserve"> </w:t>
      </w:r>
      <w:r>
        <w:t xml:space="preserve">and media store.</w:t>
      </w:r>
    </w:p>
    <w:p>
      <w:pPr>
        <w:pStyle w:val="BodyText"/>
      </w:pPr>
      <w:r>
        <w:t xml:space="preserve">Versioned saves use expected prior revision identifiers where</w:t>
      </w:r>
      <w:r>
        <w:t xml:space="preserve"> </w:t>
      </w:r>
      <w:r>
        <w:t xml:space="preserve">defined. Reopen and reconcile on conflict. Exact exports and handoffs</w:t>
      </w:r>
      <w:r>
        <w:t xml:space="preserve"> </w:t>
      </w:r>
      <w:r>
        <w:t xml:space="preserve">use source IDs, current visibility, revision and SHA256. Review belongs</w:t>
      </w:r>
      <w:r>
        <w:t xml:space="preserve"> </w:t>
      </w:r>
      <w:r>
        <w:t xml:space="preserve">to the saved revision and does not transfer silently to edited text.</w:t>
      </w:r>
      <w:r>
        <w:t xml:space="preserve"> </w:t>
      </w:r>
      <w:r>
        <w:t xml:space="preserve">Database changes use the owning product’s migrations; a request or</w:t>
      </w:r>
      <w:r>
        <w:t xml:space="preserve"> </w:t>
      </w:r>
      <w:r>
        <w:t xml:space="preserve">readiness check is not an authorization to mutate schema.</w:t>
      </w:r>
    </w:p>
    <w:bookmarkEnd w:id="47"/>
    <w:bookmarkStart w:id="50" w:name="capacity-and-platform-statements"/>
    <w:p>
      <w:pPr>
        <w:pStyle w:val="Heading3"/>
      </w:pPr>
      <w:r>
        <w:t xml:space="preserve">Capacity and platform</w:t>
      </w:r>
      <w:r>
        <w:t xml:space="preserve"> </w:t>
      </w:r>
      <w:r>
        <w:t xml:space="preserve">statements</w:t>
      </w:r>
    </w:p>
    <w:p>
      <w:pPr>
        <w:pStyle w:val="FirstParagraph"/>
      </w:pPr>
      <w:r>
        <w:t xml:space="preserve">This beta has synthetic single-profile workflow evidence. It does not</w:t>
      </w:r>
      <w:r>
        <w:t xml:space="preserve"> </w:t>
      </w:r>
      <w:r>
        <w:t xml:space="preserve">have a published benchmark for concurrent staff capacity, minimum</w:t>
      </w:r>
      <w:r>
        <w:t xml:space="preserve"> </w:t>
      </w:r>
      <w:r>
        <w:t xml:space="preserve">RAM/CPU, large-source limits or a field SLA. Do not turn a developer</w:t>
      </w:r>
      <w:r>
        <w:t xml:space="preserve"> </w:t>
      </w:r>
      <w:r>
        <w:t xml:space="preserve">machine’s specification into a supported minimum. The signed MSI is 2,082,697,216 bytes; allow additional disk for extracted runtime,</w:t>
      </w:r>
      <w:r>
        <w:t xml:space="preserve"> </w:t>
      </w:r>
      <w:r>
        <w:t xml:space="preserve">database, originals, exports, media and backups. Select</w:t>
      </w:r>
      <w:r>
        <w:t xml:space="preserve"> </w:t>
      </w:r>
      <w:r>
        <w:t xml:space="preserve">equipment/storage after sizing those actual workloads.</w:t>
      </w:r>
    </w:p>
    <w:p>
      <w:pPr>
        <w:pStyle w:val="BodyText"/>
      </w:pPr>
      <w:r>
        <w:t xml:space="preserve">The exact</w:t>
      </w:r>
      <w:r>
        <w:t xml:space="preserve"> </w:t>
      </w:r>
      <w:hyperlink r:id="rId48">
        <w:r>
          <w:rPr>
            <w:rStyle w:val="Hyperlink"/>
          </w:rPr>
          <w:t xml:space="preserve">runtime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payload lock</w:t>
        </w:r>
      </w:hyperlink>
      <w:r>
        <w:t xml:space="preserve"> </w:t>
      </w:r>
      <w:r>
        <w:t xml:space="preserve">records pinned files, sizes and hashes. The</w:t>
      </w:r>
      <w:r>
        <w:t xml:space="preserve"> </w:t>
      </w:r>
      <w:hyperlink r:id="rId49">
        <w:r>
          <w:rPr>
            <w:rStyle w:val="Hyperlink"/>
          </w:rPr>
          <w:t xml:space="preserve">component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records shipped dependency declarations. These references</w:t>
      </w:r>
      <w:r>
        <w:t xml:space="preserve"> </w:t>
      </w:r>
      <w:r>
        <w:t xml:space="preserve">are more precise than a manually copied dependency list. Third-party and</w:t>
      </w:r>
      <w:r>
        <w:t xml:space="preserve"> </w:t>
      </w:r>
      <w:r>
        <w:t xml:space="preserve">historical license notices must accompany their matching payloads.</w:t>
      </w:r>
    </w:p>
    <w:bookmarkEnd w:id="50"/>
    <w:bookmarkStart w:id="51" w:name="station-operator-and-media-components"/>
    <w:p>
      <w:pPr>
        <w:pStyle w:val="Heading3"/>
      </w:pPr>
      <w:r>
        <w:t xml:space="preserve">Station operator and</w:t>
      </w:r>
      <w:r>
        <w:t xml:space="preserve"> </w:t>
      </w:r>
      <w:r>
        <w:t xml:space="preserve">media components</w:t>
      </w:r>
    </w:p>
    <w:p>
      <w:pPr>
        <w:pStyle w:val="FirstParagraph"/>
      </w:pPr>
      <w:r>
        <w:t xml:space="preserve">The native desktop frontend above is distinct from Station’s browser</w:t>
      </w:r>
      <w:r>
        <w:t xml:space="preserve"> </w:t>
      </w:r>
      <w:r>
        <w:t xml:space="preserve">operator. The pinned operator package</w:t>
      </w:r>
      <w:r>
        <w:t xml:space="preserve"> </w:t>
      </w:r>
      <w:r>
        <w:rPr>
          <w:rStyle w:val="VerbatimChar"/>
        </w:rPr>
        <w:t xml:space="preserve">townlight-station-operator</w:t>
      </w:r>
      <w:r>
        <w:t xml:space="preserve"> </w:t>
      </w:r>
      <w:r>
        <w:t xml:space="preserve">is version</w:t>
      </w:r>
      <w:r>
        <w:t xml:space="preserve"> </w:t>
      </w:r>
      <w:r>
        <w:rPr>
          <w:b/>
          <w:bCs/>
        </w:rPr>
        <w:t xml:space="preserve">0.1.0</w:t>
      </w:r>
      <w:r>
        <w:t xml:space="preserve">, using</w:t>
      </w:r>
      <w:r>
        <w:t xml:space="preserve"> </w:t>
      </w:r>
      <w:r>
        <w:rPr>
          <w:b/>
          <w:bCs/>
        </w:rPr>
        <w:t xml:space="preserve">React/react-dom 19.1.1</w:t>
      </w:r>
      <w:r>
        <w:t xml:space="preserve">,</w:t>
      </w:r>
      <w:r>
        <w:t xml:space="preserve"> </w:t>
      </w:r>
      <w:r>
        <w:rPr>
          <w:b/>
          <w:bCs/>
        </w:rPr>
        <w:t xml:space="preserve">TypeScript 5.9.2</w:t>
      </w:r>
      <w:r>
        <w:t xml:space="preserve">,</w:t>
      </w:r>
      <w:r>
        <w:t xml:space="preserve"> </w:t>
      </w:r>
      <w:r>
        <w:rPr>
          <w:b/>
          <w:bCs/>
        </w:rPr>
        <w:t xml:space="preserve">Vite 7.3.7</w:t>
      </w:r>
      <w:r>
        <w:t xml:space="preserve"> </w:t>
      </w:r>
      <w:r>
        <w:t xml:space="preserve">and the</w:t>
      </w:r>
      <w:r>
        <w:t xml:space="preserve"> </w:t>
      </w:r>
      <w:r>
        <w:t xml:space="preserve">React Vite plugin 5.0.2. Station serves its built assets through its own</w:t>
      </w:r>
      <w:r>
        <w:t xml:space="preserve"> </w:t>
      </w:r>
      <w:r>
        <w:t xml:space="preserve">operator API. Its Python control/API package remains</w:t>
      </w:r>
      <w:r>
        <w:t xml:space="preserve"> </w:t>
      </w:r>
      <w:r>
        <w:rPr>
          <w:b/>
          <w:bCs/>
        </w:rPr>
        <w:t xml:space="preserve">townlight-station 0.3.0</w:t>
      </w:r>
      <w:r>
        <w:t xml:space="preserve">, while its retained storage</w:t>
      </w:r>
      <w:r>
        <w:t xml:space="preserve"> </w:t>
      </w:r>
      <w:r>
        <w:t xml:space="preserve">identity remains</w:t>
      </w:r>
      <w:r>
        <w:t xml:space="preserve"> </w:t>
      </w:r>
      <w:r>
        <w:rPr>
          <w:b/>
          <w:bCs/>
        </w:rPr>
        <w:t xml:space="preserve">0.1.0</w:t>
      </w:r>
      <w:r>
        <w:t xml:space="preserve">. These identities have different</w:t>
      </w:r>
      <w:r>
        <w:t xml:space="preserve"> </w:t>
      </w:r>
      <w:r>
        <w:t xml:space="preserve">purposes and are not renumbered.</w:t>
      </w:r>
    </w:p>
    <w:p>
      <w:pPr>
        <w:pStyle w:val="BodyText"/>
      </w:pPr>
      <w:r>
        <w:t xml:space="preserve">The separate pinned CivicCast-derived media engine uses Python/native</w:t>
      </w:r>
      <w:r>
        <w:t xml:space="preserve"> </w:t>
      </w:r>
      <w:r>
        <w:t xml:space="preserve">GStreamer processing and bounded media children. It is not the</w:t>
      </w:r>
      <w:r>
        <w:t xml:space="preserve"> </w:t>
      </w:r>
      <w:r>
        <w:t xml:space="preserve">standalone CivicCast application. Station’s control database, data root,</w:t>
      </w:r>
      <w:r>
        <w:t xml:space="preserve"> </w:t>
      </w:r>
      <w:r>
        <w:t xml:space="preserve">service/configuration and update identity remain independent. This</w:t>
      </w:r>
      <w:r>
        <w:t xml:space="preserve"> </w:t>
      </w:r>
      <w:r>
        <w:t xml:space="preserve">describes the current mixed stack; no runtime rewrite or CivicCast</w:t>
      </w:r>
      <w:r>
        <w:t xml:space="preserve"> </w:t>
      </w:r>
      <w:r>
        <w:t xml:space="preserve">migration is implied.</w:t>
      </w:r>
    </w:p>
    <w:bookmarkEnd w:id="51"/>
    <w:bookmarkEnd w:id="52"/>
    <w:bookmarkStart w:id="54" w:name="configuration-and-administration"/>
    <w:p>
      <w:pPr>
        <w:pStyle w:val="Heading2"/>
      </w:pPr>
      <w:r>
        <w:t xml:space="preserve">Configuration and</w:t>
      </w:r>
      <w:r>
        <w:t xml:space="preserve"> </w:t>
      </w:r>
      <w:r>
        <w:t xml:space="preserve">administration</w:t>
      </w:r>
    </w:p>
    <w:bookmarkStart w:id="53" w:name="native-deployment-configuration"/>
    <w:p>
      <w:pPr>
        <w:pStyle w:val="Heading3"/>
      </w:pPr>
      <w:r>
        <w:t xml:space="preserve">Native deployment</w:t>
      </w:r>
      <w:r>
        <w:t xml:space="preserve"> </w:t>
      </w:r>
      <w:r>
        <w:t xml:space="preserve">configuration</w:t>
      </w:r>
    </w:p>
    <w:p>
      <w:pPr>
        <w:pStyle w:val="FirstParagraph"/>
      </w:pPr>
      <w:r>
        <w:t xml:space="preserve">Use Setup, Settings and System Health for supported staff operation.</w:t>
      </w:r>
      <w:r>
        <w:t xml:space="preserve"> </w:t>
      </w:r>
      <w:r>
        <w:t xml:space="preserve">Administrators provision folders, backup storage, named accounts and the</w:t>
      </w:r>
      <w:r>
        <w:t xml:space="preserve"> </w:t>
      </w:r>
      <w:r>
        <w:t xml:space="preserve">city profile. Select</w:t>
      </w:r>
      <w:r>
        <w:t xml:space="preserve"> </w:t>
      </w:r>
      <w:r>
        <w:rPr>
          <w:rStyle w:val="VerbatimChar"/>
        </w:rPr>
        <w:t xml:space="preserve">inspections-preview</w:t>
      </w:r>
      <w:r>
        <w:t xml:space="preserve"> </w:t>
      </w:r>
      <w:r>
        <w:t xml:space="preserve">for the bounded</w:t>
      </w:r>
      <w:r>
        <w:t xml:space="preserve"> </w:t>
      </w:r>
      <w:r>
        <w:t xml:space="preserve">desktop composition, including Access and Notice. Station remains a</w:t>
      </w:r>
      <w:r>
        <w:t xml:space="preserve"> </w:t>
      </w:r>
      <w:r>
        <w:t xml:space="preserve">separate service boundary. Do not use a standalone product’s demo server</w:t>
      </w:r>
      <w:r>
        <w:t xml:space="preserve"> </w:t>
      </w:r>
      <w:r>
        <w:t xml:space="preserve">as a substitute for the installed workspace.</w:t>
      </w:r>
    </w:p>
    <w:p>
      <w:pPr>
        <w:pStyle w:val="BodyText"/>
      </w:pPr>
      <w:r>
        <w:t xml:space="preserve">Technical deployments use</w:t>
      </w:r>
      <w:r>
        <w:t xml:space="preserve"> </w:t>
      </w:r>
      <w:r>
        <w:rPr>
          <w:rStyle w:val="VerbatimChar"/>
        </w:rPr>
        <w:t xml:space="preserve">TOWNLIGHT_PRODUCT_PROFILE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DATABASE_URL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TOWNLIGHT_RUNTIME_PORT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PORTAL_MODE</w:t>
      </w:r>
      <w:r>
        <w:t xml:space="preserve"> </w:t>
      </w:r>
      <w:r>
        <w:t xml:space="preserve">and the</w:t>
      </w:r>
      <w:r>
        <w:t xml:space="preserve"> </w:t>
      </w:r>
      <w:r>
        <w:t xml:space="preserve">runtime-managed secret files. Treat database URLs and native session</w:t>
      </w:r>
      <w:r>
        <w:t xml:space="preserve"> </w:t>
      </w:r>
      <w:r>
        <w:t xml:space="preserve">proofs as secrets. The installed native domain runtime explicitly</w:t>
      </w:r>
      <w:r>
        <w:t xml:space="preserve"> </w:t>
      </w:r>
      <w:r>
        <w:t xml:space="preserve">refuses non-loopback binding.</w:t>
      </w:r>
      <w:r>
        <w:t xml:space="preserve"> </w:t>
      </w:r>
      <w:r>
        <w:rPr>
          <w:rStyle w:val="VerbatimChar"/>
        </w:rPr>
        <w:t xml:space="preserve">PORTAL_MODE=private</w:t>
      </w:r>
      <w:r>
        <w:t xml:space="preserve"> </w:t>
      </w:r>
      <w:r>
        <w:t xml:space="preserve">is the</w:t>
      </w:r>
      <w:r>
        <w:t xml:space="preserve"> </w:t>
      </w:r>
      <w:r>
        <w:t xml:space="preserve">accepted posture; changing it does not by itself commission an internet</w:t>
      </w:r>
      <w:r>
        <w:t xml:space="preserve"> </w:t>
      </w:r>
      <w:r>
        <w:t xml:space="preserve">portal, authentication provider or reverse proxy.</w:t>
      </w:r>
    </w:p>
    <w:p>
      <w:pPr>
        <w:pStyle w:val="BodyText"/>
      </w:pPr>
      <w:r>
        <w:t xml:space="preserve">The isolated documentation exporter sets a fictional profile and</w:t>
      </w:r>
      <w:r>
        <w:t xml:space="preserve"> </w:t>
      </w:r>
      <w:r>
        <w:t xml:space="preserve">unusable synthetic database origin only to read schemas; those values</w:t>
      </w:r>
      <w:r>
        <w:t xml:space="preserve"> </w:t>
      </w:r>
      <w:r>
        <w:t xml:space="preserve">are not deployment configuration. Keep deployment values in the intended</w:t>
      </w:r>
      <w:r>
        <w:t xml:space="preserve"> </w:t>
      </w:r>
      <w:r>
        <w:t xml:space="preserve">process/account scope. An already-running process does not automatically</w:t>
      </w:r>
      <w:r>
        <w:t xml:space="preserve"> </w:t>
      </w:r>
      <w:r>
        <w:t xml:space="preserve">inherit later environment edits.</w:t>
      </w:r>
    </w:p>
    <w:bookmarkEnd w:id="53"/>
    <w:bookmarkEnd w:id="54"/>
    <w:bookmarkStart w:id="65" w:name="api-and-integration-examples"/>
    <w:p>
      <w:pPr>
        <w:pStyle w:val="Heading2"/>
      </w:pPr>
      <w:r>
        <w:t xml:space="preserve">API and integration examples</w:t>
      </w:r>
    </w:p>
    <w:bookmarkStart w:id="56" w:name="native-command-example"/>
    <w:p>
      <w:pPr>
        <w:pStyle w:val="Heading3"/>
      </w:pPr>
      <w:r>
        <w:t xml:space="preserve">Native command example</w:t>
      </w:r>
    </w:p>
    <w:p>
      <w:pPr>
        <w:pStyle w:val="FirstParagraph"/>
      </w:pPr>
      <w:r>
        <w:t xml:space="preserve">The following JavaScript belongs in the existing trusted Townlight</w:t>
      </w:r>
      <w:r>
        <w:t xml:space="preserve"> </w:t>
      </w:r>
      <w:r>
        <w:t xml:space="preserve">frontend/development environment with</w:t>
      </w:r>
      <w:r>
        <w:t xml:space="preserve"> </w:t>
      </w:r>
      <w:r>
        <w:rPr>
          <w:rStyle w:val="VerbatimChar"/>
        </w:rPr>
        <w:t xml:space="preserve">invoke</w:t>
      </w:r>
      <w:r>
        <w:t xml:space="preserve"> </w:t>
      </w:r>
      <w:r>
        <w:t xml:space="preserve">imported from</w:t>
      </w:r>
      <w:r>
        <w:t xml:space="preserve"> </w:t>
      </w:r>
      <w:r>
        <w:rPr>
          <w:rStyle w:val="VerbatimChar"/>
        </w:rPr>
        <w:t xml:space="preserve">@tauri-apps/api/core</w:t>
      </w:r>
      <w:r>
        <w:t xml:space="preserve">. It is not a command for an arbitrary</w:t>
      </w:r>
      <w:r>
        <w:t xml:space="preserve"> </w:t>
      </w:r>
      <w:r>
        <w:t xml:space="preserve">web page or an instruction for nontechnical staff. IDs must come from</w:t>
      </w:r>
      <w:r>
        <w:t xml:space="preserve"> </w:t>
      </w:r>
      <w:r>
        <w:t xml:space="preserve">records created in an isolated synthetic exercise.</w:t>
      </w:r>
    </w:p>
    <w:bookmarkStart w:id="55" w:name="cb1"/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{ invoke }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'@tauri-apps/api/core'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'meetings_domain_request'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request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operation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'get-proceedings'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meetingId}})</w:t>
      </w:r>
      <w:r>
        <w:rPr>
          <w:rStyle w:val="OperatorTok"/>
        </w:rPr>
        <w:t xml:space="preserve">;</w:t>
      </w:r>
      <w:r>
        <w:br/>
      </w:r>
      <w:r>
        <w:rPr>
          <w:rStyle w:val="BuiltInTok"/>
        </w:rPr>
        <w:t xml:space="preserve">console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(result)</w:t>
      </w:r>
      <w:r>
        <w:rPr>
          <w:rStyle w:val="OperatorTok"/>
        </w:rPr>
        <w:t xml:space="preserve">;</w:t>
      </w:r>
    </w:p>
    <w:bookmarkEnd w:id="55"/>
    <w:bookmarkEnd w:id="56"/>
    <w:bookmarkStart w:id="58" w:name="trusted-local-http-example"/>
    <w:p>
      <w:pPr>
        <w:pStyle w:val="Heading3"/>
      </w:pPr>
      <w:r>
        <w:t xml:space="preserve">Trusted local HTTP example</w:t>
      </w:r>
    </w:p>
    <w:p>
      <w:pPr>
        <w:pStyle w:val="FirstParagraph"/>
      </w:pPr>
      <w:r>
        <w:t xml:space="preserve">An administrator/developer can inspect an already-configured isolated</w:t>
      </w:r>
      <w:r>
        <w:t xml:space="preserve"> </w:t>
      </w:r>
      <w:r>
        <w:t xml:space="preserve">runtime from a trusted local process. This PowerShell example reads the</w:t>
      </w:r>
      <w:r>
        <w:t xml:space="preserve"> </w:t>
      </w:r>
      <w:r>
        <w:t xml:space="preserve">signed-in synthetic profile’s existing proof into memory; it does not</w:t>
      </w:r>
      <w:r>
        <w:t xml:space="preserve"> </w:t>
      </w:r>
      <w:r>
        <w:t xml:space="preserve">create a user, seed a session, reveal the proof in output or bypass a</w:t>
      </w:r>
      <w:r>
        <w:t xml:space="preserve"> </w:t>
      </w:r>
      <w:r>
        <w:t xml:space="preserve">permission check. Do not use real city data in development examples. A</w:t>
      </w:r>
      <w:r>
        <w:t xml:space="preserve"> </w:t>
      </w:r>
      <w:r>
        <w:t xml:space="preserve">read response does not prove approval or publication.</w:t>
      </w:r>
    </w:p>
    <w:bookmarkStart w:id="57" w:name="cb2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'config\local-session.json'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'http://127.0.0.1:15480/desktop/v1/meetings/station/catalog'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7"/>
    <w:bookmarkEnd w:id="58"/>
    <w:bookmarkStart w:id="60" w:name="Xc1e641ed528d4025c368f165cf10eb57eaf8eef"/>
    <w:p>
      <w:pPr>
        <w:pStyle w:val="Heading3"/>
      </w:pPr>
      <w:r>
        <w:t xml:space="preserve">A synthetic write</w:t>
      </w:r>
      <w:r>
        <w:t xml:space="preserve"> </w:t>
      </w:r>
      <w:r>
        <w:t xml:space="preserve">with subsequent readback</w:t>
      </w:r>
    </w:p>
    <w:p>
      <w:pPr>
        <w:pStyle w:val="FirstParagraph"/>
      </w:pPr>
      <w:r>
        <w:t xml:space="preserve">This example demonstrates the existing Meetings HTTP contract in an</w:t>
      </w:r>
      <w:r>
        <w:t xml:space="preserve"> </w:t>
      </w:r>
      <w:r>
        <w:t xml:space="preserve">isolated exercise. It is intentionally fictional. It does not start a</w:t>
      </w:r>
      <w:r>
        <w:t xml:space="preserve"> </w:t>
      </w:r>
      <w:r>
        <w:t xml:space="preserve">service. Its authentication setup is included so it can be run</w:t>
      </w:r>
      <w:r>
        <w:t xml:space="preserve"> </w:t>
      </w:r>
      <w:r>
        <w:t xml:space="preserve">independently under the signed-in synthetic account. If a write times</w:t>
      </w:r>
      <w:r>
        <w:t xml:space="preserve"> </w:t>
      </w:r>
      <w:r>
        <w:t xml:space="preserve">out, inspect current records before repeating it.</w:t>
      </w:r>
    </w:p>
    <w:bookmarkStart w:id="59" w:name="cb3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'config/local-session.json'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VariableTok"/>
        </w:rPr>
        <w:t xml:space="preserve">$body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title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documentation exercise'</w:t>
      </w:r>
      <w:r>
        <w:br/>
      </w:r>
      <w:r>
        <w:rPr>
          <w:rStyle w:val="NormalTok"/>
        </w:rPr>
        <w:t xml:space="preserve">  scheduled_start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'2026-11-05T18:00:00-07:00'</w:t>
      </w:r>
      <w:r>
        <w:br/>
      </w:r>
      <w:r>
        <w:rPr>
          <w:rStyle w:val="NormalTok"/>
        </w:rPr>
        <w:t xml:space="preserve">  location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room'</w:t>
      </w:r>
      <w:r>
        <w:br/>
      </w:r>
      <w:r>
        <w:rPr>
          <w:rStyle w:val="NormalTok"/>
        </w:rPr>
        <w:t xml:space="preserve">  meeting_type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'regular'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ConvertTo-Json</w:t>
      </w:r>
      <w:r>
        <w:br/>
      </w:r>
      <w:r>
        <w:rPr>
          <w:rStyle w:val="VariableTok"/>
        </w:rPr>
        <w:t xml:space="preserve">$meeting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Method Post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'http://127.0.0.1:15480/desktop/v1/meetings/meetings'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ContentType </w:t>
      </w:r>
      <w:r>
        <w:rPr>
          <w:rStyle w:val="StringTok"/>
        </w:rPr>
        <w:t xml:space="preserve">'application/json'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Body </w:t>
      </w:r>
      <w:r>
        <w:rPr>
          <w:rStyle w:val="VariableTok"/>
        </w:rPr>
        <w:t xml:space="preserve">$body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'http://127.0.0.1:15480/desktop/v1/meetings/meetings/'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$meeting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9"/>
    <w:p>
      <w:pPr>
        <w:pStyle w:val="FirstParagraph"/>
      </w:pPr>
      <w:r>
        <w:t xml:space="preserve">This write requires Meetings to be enabled and the signed-in staff</w:t>
      </w:r>
      <w:r>
        <w:t xml:space="preserve"> </w:t>
      </w:r>
      <w:r>
        <w:t xml:space="preserve">role to permit it. It is a cross-suite integration example; for this</w:t>
      </w:r>
      <w:r>
        <w:t xml:space="preserve"> </w:t>
      </w:r>
      <w:r>
        <w:t xml:space="preserve">product’s request models, use the complete technical reference</w:t>
      </w:r>
      <w:r>
        <w:t xml:space="preserve"> </w:t>
      </w:r>
      <w:r>
        <w:t xml:space="preserve">below.</w:t>
      </w:r>
    </w:p>
    <w:bookmarkEnd w:id="60"/>
    <w:bookmarkStart w:id="64" w:name="complete-technical-contract"/>
    <w:p>
      <w:pPr>
        <w:pStyle w:val="Heading3"/>
      </w:pPr>
      <w:r>
        <w:t xml:space="preserve">Complete technical contract</w:t>
      </w:r>
    </w:p>
    <w:p>
      <w:pPr>
        <w:pStyle w:val="FirstParagraph"/>
      </w:pPr>
      <w:r>
        <w:t xml:space="preserve">Read the</w:t>
      </w:r>
      <w:r>
        <w:t xml:space="preserve"> </w:t>
      </w:r>
      <w:hyperlink r:id="rId61">
        <w:r>
          <w:rPr>
            <w:rStyle w:val="Hyperlink"/>
          </w:rPr>
          <w:t xml:space="preserve">Suite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API reference</w:t>
        </w:r>
      </w:hyperlink>
      <w:r>
        <w:t xml:space="preserve"> </w:t>
      </w:r>
      <w:r>
        <w:t xml:space="preserve">for every documented operation, request field,</w:t>
      </w:r>
      <w:r>
        <w:t xml:space="preserve"> </w:t>
      </w:r>
      <w:r>
        <w:t xml:space="preserve">constraint, response declaration and source supplement. Download the</w:t>
      </w:r>
      <w:r>
        <w:t xml:space="preserve"> </w:t>
      </w:r>
      <w:hyperlink r:id="rId62">
        <w:r>
          <w:rPr>
            <w:rStyle w:val="Hyperlink"/>
          </w:rPr>
          <w:t xml:space="preserve">OpenAPI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JSON</w:t>
        </w:r>
      </w:hyperlink>
      <w:r>
        <w:t xml:space="preserve"> </w:t>
      </w:r>
      <w:r>
        <w:t xml:space="preserve">for tools. For Station this is the suite-side schema only; its</w:t>
      </w:r>
      <w:r>
        <w:t xml:space="preserve"> </w:t>
      </w:r>
      <w:r>
        <w:t xml:space="preserve">separate service contract is documented in the API supplement. The</w:t>
      </w:r>
      <w:r>
        <w:t xml:space="preserve"> </w:t>
      </w:r>
      <w:hyperlink r:id="rId63">
        <w:r>
          <w:rPr>
            <w:rStyle w:val="Hyperlink"/>
          </w:rPr>
          <w:t xml:space="preserve">reference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directory</w:t>
        </w:r>
      </w:hyperlink>
      <w:r>
        <w:t xml:space="preserve"> </w:t>
      </w:r>
      <w:r>
        <w:t xml:space="preserve">includes configuration/source inventories, dependency</w:t>
      </w:r>
      <w:r>
        <w:t xml:space="preserve"> </w:t>
      </w:r>
      <w:r>
        <w:t xml:space="preserve">declarations, native command contracts, MCP signatures and candidate</w:t>
      </w:r>
      <w:r>
        <w:t xml:space="preserve"> </w:t>
      </w:r>
      <w:r>
        <w:t xml:space="preserve">evidence.</w:t>
      </w:r>
    </w:p>
    <w:bookmarkEnd w:id="64"/>
    <w:bookmarkEnd w:id="65"/>
    <w:bookmarkStart w:id="68" w:name="mcp-and-automation-boundary"/>
    <w:p>
      <w:pPr>
        <w:pStyle w:val="Heading2"/>
      </w:pPr>
      <w:r>
        <w:t xml:space="preserve">MCP and automation boundary</w:t>
      </w:r>
    </w:p>
    <w:p>
      <w:pPr>
        <w:pStyle w:val="FirstParagraph"/>
      </w:pPr>
      <w:r>
        <w:t xml:space="preserve">No direct product MCP server is exposed by the accepted Townlight</w:t>
      </w:r>
      <w:r>
        <w:t xml:space="preserve"> </w:t>
      </w:r>
      <w:r>
        <w:t xml:space="preserve">desktop or Station boundary. Do not configure an invented</w:t>
      </w:r>
      <w:r>
        <w:t xml:space="preserve"> </w:t>
      </w:r>
      <w:r>
        <w:rPr>
          <w:rStyle w:val="VerbatimChar"/>
        </w:rPr>
        <w:t xml:space="preserve">townlight mcp</w:t>
      </w:r>
      <w:r>
        <w:t xml:space="preserve"> </w:t>
      </w:r>
      <w:r>
        <w:t xml:space="preserve">command or assume an AI client has staff</w:t>
      </w:r>
      <w:r>
        <w:t xml:space="preserve"> </w:t>
      </w:r>
      <w:r>
        <w:t xml:space="preserve">permissions. The integration surfaces for this beta are native IPC, the</w:t>
      </w:r>
      <w:r>
        <w:t xml:space="preserve"> </w:t>
      </w:r>
      <w:r>
        <w:t xml:space="preserve">documented HTTP APIs, source bundle imports, exact exports and the</w:t>
      </w:r>
      <w:r>
        <w:t xml:space="preserve"> </w:t>
      </w:r>
      <w:r>
        <w:t xml:space="preserve">existing Station CLI.</w:t>
      </w:r>
    </w:p>
    <w:p>
      <w:pPr>
        <w:pStyle w:val="BodyText"/>
      </w:pPr>
      <w:r>
        <w:t xml:space="preserve">The bundled transcription code includes a</w:t>
      </w:r>
      <w:r>
        <w:t xml:space="preserve"> </w:t>
      </w:r>
      <w:r>
        <w:rPr>
          <w:b/>
          <w:bCs/>
        </w:rPr>
        <w:t xml:space="preserve">TextFlowKit MCP</w:t>
      </w:r>
      <w:r>
        <w:rPr>
          <w:b/>
          <w:bCs/>
        </w:rPr>
        <w:t xml:space="preserve"> </w:t>
      </w:r>
      <w:r>
        <w:rPr>
          <w:b/>
          <w:bCs/>
        </w:rPr>
        <w:t xml:space="preserve">adapter</w:t>
      </w:r>
      <w:r>
        <w:t xml:space="preserve"> </w:t>
      </w:r>
      <w:r>
        <w:t xml:space="preserve">as a separate source capability. It offers job-based</w:t>
      </w:r>
      <w:r>
        <w:t xml:space="preserve"> </w:t>
      </w:r>
      <w:r>
        <w:rPr>
          <w:rStyle w:val="VerbatimChar"/>
        </w:rPr>
        <w:t xml:space="preserve">transcribe_media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get_transcript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list_jobs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get_job_status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export_transcript</w:t>
      </w:r>
      <w:r>
        <w:t xml:space="preserve">, and additional tools declared in that</w:t>
      </w:r>
      <w:r>
        <w:t xml:space="preserve"> </w:t>
      </w:r>
      <w:r>
        <w:t xml:space="preserve">adapter. It uses stdio first and optional Streamable HTTP, with the MCP</w:t>
      </w:r>
      <w:r>
        <w:t xml:space="preserve"> </w:t>
      </w:r>
      <w:r>
        <w:t xml:space="preserve">SDK as an optional extra. It is not automatically launched,</w:t>
      </w:r>
      <w:r>
        <w:t xml:space="preserve"> </w:t>
      </w:r>
      <w:r>
        <w:t xml:space="preserve">authenticated as Townlight staff or accepted as a Townlight product MCP</w:t>
      </w:r>
      <w:r>
        <w:t xml:space="preserve"> </w:t>
      </w:r>
      <w:r>
        <w:t xml:space="preserve">deployment. This documentation does not add such a service.</w:t>
      </w:r>
    </w:p>
    <w:p>
      <w:pPr>
        <w:pStyle w:val="BodyText"/>
      </w:pPr>
      <w:r>
        <w:t xml:space="preserve">For a transcription client already provisioned separately, an</w:t>
      </w:r>
      <w:r>
        <w:t xml:space="preserve"> </w:t>
      </w:r>
      <w:r>
        <w:t xml:space="preserve">illustrative tool call is:</w:t>
      </w:r>
    </w:p>
    <w:bookmarkStart w:id="66" w:name="cb4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"get_job_status"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"arguments"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"job_id"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"synthetic-existing-job-id"</w:t>
      </w:r>
      <w:r>
        <w:rPr>
          <w:rStyle w:val="FunctionTok"/>
        </w:rPr>
        <w:t xml:space="preserve">}}</w:t>
      </w:r>
    </w:p>
    <w:bookmarkEnd w:id="66"/>
    <w:p>
      <w:pPr>
        <w:pStyle w:val="FirstParagraph"/>
      </w:pPr>
      <w:r>
        <w:t xml:space="preserve">Use a job ID returned by that transcription service. This example</w:t>
      </w:r>
      <w:r>
        <w:t xml:space="preserve"> </w:t>
      </w:r>
      <w:r>
        <w:t xml:space="preserve">does not create a Townlight record or bypass its review/Records handoff.</w:t>
      </w:r>
      <w:r>
        <w:t xml:space="preserve"> </w:t>
      </w:r>
      <w:r>
        <w:t xml:space="preserve">The exact optional adapter tool signatures are supplied in the</w:t>
      </w:r>
      <w:r>
        <w:t xml:space="preserve"> </w:t>
      </w:r>
      <w:hyperlink r:id="rId67">
        <w:r>
          <w:rPr>
            <w:rStyle w:val="Hyperlink"/>
          </w:rPr>
          <w:t xml:space="preserve">MCP source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. Station meeting capture does not become live speech</w:t>
      </w:r>
      <w:r>
        <w:t xml:space="preserve"> </w:t>
      </w:r>
      <w:r>
        <w:t xml:space="preserve">recognition because this optional donor adapter exists.</w:t>
      </w:r>
    </w:p>
    <w:bookmarkEnd w:id="68"/>
    <w:bookmarkStart w:id="69" w:name="security-and-permissions"/>
    <w:p>
      <w:pPr>
        <w:pStyle w:val="Heading2"/>
      </w:pPr>
      <w:r>
        <w:t xml:space="preserve">Security and permissions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p>
      <w:pPr>
        <w:pStyle w:val="BodyText"/>
      </w:pPr>
      <w:r>
        <w:t xml:space="preserve">The native session is validated and mapped to a persisted SQL</w:t>
      </w:r>
      <w:r>
        <w:t xml:space="preserve"> </w:t>
      </w:r>
      <w:r>
        <w:t xml:space="preserve">identity. An editable actor/reviewer label is not authentication.</w:t>
      </w:r>
      <w:r>
        <w:t xml:space="preserve"> </w:t>
      </w:r>
      <w:r>
        <w:t xml:space="preserve">Product/module permissions and source visibility apply at the server</w:t>
      </w:r>
      <w:r>
        <w:t xml:space="preserve"> </w:t>
      </w:r>
      <w:r>
        <w:t xml:space="preserve">boundary. Revoked/unavailable authority fails closed for new Station</w:t>
      </w:r>
      <w:r>
        <w:t xml:space="preserve"> </w:t>
      </w:r>
      <w:r>
        <w:t xml:space="preserve">operations; a previous permission result is not a perpetual</w:t>
      </w:r>
      <w:r>
        <w:t xml:space="preserve"> </w:t>
      </w:r>
      <w:r>
        <w:t xml:space="preserve">authorization.</w:t>
      </w:r>
    </w:p>
    <w:p>
      <w:pPr>
        <w:pStyle w:val="BodyText"/>
      </w:pPr>
      <w:r>
        <w:t xml:space="preserve">Use protected local folders, account permissions and credential</w:t>
      </w:r>
      <w:r>
        <w:t xml:space="preserve"> </w:t>
      </w:r>
      <w:r>
        <w:t xml:space="preserve">storage. Never include the native session file, database passwords,</w:t>
      </w:r>
      <w:r>
        <w:t xml:space="preserve"> </w:t>
      </w:r>
      <w:r>
        <w:t xml:space="preserve">provider keys or unredacted support bundles in a public issue or</w:t>
      </w:r>
      <w:r>
        <w:t xml:space="preserve"> </w:t>
      </w:r>
      <w:r>
        <w:t xml:space="preserve">generated public documentation. A local public view is not automatically</w:t>
      </w:r>
      <w:r>
        <w:t xml:space="preserve"> </w:t>
      </w:r>
      <w:r>
        <w:t xml:space="preserve">a secured internet deployment. Keep network exposure and real equipment</w:t>
      </w:r>
      <w:r>
        <w:t xml:space="preserve"> </w:t>
      </w:r>
      <w:r>
        <w:t xml:space="preserve">acceptance specific to the chosen beta site.</w:t>
      </w:r>
    </w:p>
    <w:bookmarkEnd w:id="69"/>
    <w:bookmarkStart w:id="70" w:name="backup-recovery-and-maintenance"/>
    <w:p>
      <w:pPr>
        <w:pStyle w:val="Heading2"/>
      </w:pPr>
      <w:r>
        <w:t xml:space="preserve">Backup recovery and</w:t>
      </w:r>
      <w:r>
        <w:t xml:space="preserve"> </w:t>
      </w:r>
      <w:r>
        <w:t xml:space="preserve">maintenance</w:t>
      </w:r>
    </w:p>
    <w:p>
      <w:pPr>
        <w:pStyle w:val="FirstParagraph"/>
      </w:pPr>
      <w:r>
        <w:t xml:space="preserve">Save work and use Core’s canonical</w:t>
      </w:r>
      <w:r>
        <w:t xml:space="preserve"> </w:t>
      </w:r>
      <w:r>
        <w:rPr>
          <w:b/>
          <w:bCs/>
        </w:rPr>
        <w:t xml:space="preserve">Backup Now</w:t>
      </w:r>
      <w:r>
        <w:t xml:space="preserve"> </w:t>
      </w:r>
      <w:r>
        <w:t xml:space="preserve">before</w:t>
      </w:r>
      <w:r>
        <w:t xml:space="preserve"> </w:t>
      </w:r>
      <w:r>
        <w:t xml:space="preserve">maintenance. That operation stops writers. Preserve the coherent</w:t>
      </w:r>
      <w:r>
        <w:t xml:space="preserve"> </w:t>
      </w:r>
      <w:r>
        <w:t xml:space="preserve">profile/database/document backup and its receipt, then use</w:t>
      </w:r>
      <w:r>
        <w:t xml:space="preserve"> </w:t>
      </w:r>
      <w:r>
        <w:rPr>
          <w:b/>
          <w:bCs/>
        </w:rPr>
        <w:t xml:space="preserve">Start</w:t>
      </w:r>
      <w:r>
        <w:t xml:space="preserve"> </w:t>
      </w:r>
      <w:r>
        <w:t xml:space="preserve">to resume. A source export is not a full</w:t>
      </w:r>
      <w:r>
        <w:t xml:space="preserve"> </w:t>
      </w:r>
      <w:r>
        <w:t xml:space="preserve">backup.</w:t>
      </w:r>
    </w:p>
    <w:p>
      <w:pPr>
        <w:pStyle w:val="BodyText"/>
      </w:pPr>
      <w:r>
        <w:t xml:space="preserve">Use</w:t>
      </w:r>
      <w:r>
        <w:t xml:space="preserve"> </w:t>
      </w:r>
      <w:r>
        <w:rPr>
          <w:b/>
          <w:bCs/>
        </w:rPr>
        <w:t xml:space="preserve">Restore Latest Backup</w:t>
      </w:r>
      <w:r>
        <w:t xml:space="preserve"> </w:t>
      </w:r>
      <w:r>
        <w:t xml:space="preserve">through the supported</w:t>
      </w:r>
      <w:r>
        <w:t xml:space="preserve"> </w:t>
      </w:r>
      <w:r>
        <w:t xml:space="preserve">controls. If the result says</w:t>
      </w:r>
      <w:r>
        <w:t xml:space="preserve"> </w:t>
      </w:r>
      <w:r>
        <w:rPr>
          <w:b/>
          <w:bCs/>
        </w:rPr>
        <w:t xml:space="preserve">Restore needs service</w:t>
      </w:r>
      <w:r>
        <w:rPr>
          <w:b/>
          <w:bCs/>
        </w:rPr>
        <w:t xml:space="preserve"> </w:t>
      </w:r>
      <w:r>
        <w:rPr>
          <w:b/>
          <w:bCs/>
        </w:rPr>
        <w:t xml:space="preserve">start</w:t>
      </w:r>
      <w:r>
        <w:t xml:space="preserve">, use</w:t>
      </w:r>
      <w:r>
        <w:t xml:space="preserve"> </w:t>
      </w:r>
      <w:r>
        <w:rPr>
          <w:b/>
          <w:bCs/>
        </w:rPr>
        <w:t xml:space="preserve">Start</w:t>
      </w:r>
      <w:r>
        <w:t xml:space="preserve">, then</w:t>
      </w:r>
      <w:r>
        <w:t xml:space="preserve"> </w:t>
      </w:r>
      <w:r>
        <w:rPr>
          <w:b/>
          <w:bCs/>
        </w:rPr>
        <w:t xml:space="preserve">Check</w:t>
      </w:r>
      <w:r>
        <w:t xml:space="preserve">,</w:t>
      </w:r>
      <w:r>
        <w:t xml:space="preserve"> </w:t>
      </w:r>
      <w:r>
        <w:t xml:space="preserve">and reopen a known record. Do not repeat restore merely because services</w:t>
      </w:r>
      <w:r>
        <w:t xml:space="preserve"> </w:t>
      </w:r>
      <w:r>
        <w:t xml:space="preserve">need to start. The fresh-profile acceptance verified that a fulfilled</w:t>
      </w:r>
      <w:r>
        <w:t xml:space="preserve"> </w:t>
      </w:r>
      <w:r>
        <w:t xml:space="preserve">request survived restore and a post-backup marker did not.</w:t>
      </w:r>
    </w:p>
    <w:p>
      <w:pPr>
        <w:pStyle w:val="BodyText"/>
      </w:pPr>
      <w:r>
        <w:t xml:space="preserve">Keep Station’s dedicated database and media evidence together in its</w:t>
      </w:r>
      <w:r>
        <w:t xml:space="preserve"> </w:t>
      </w:r>
      <w:r>
        <w:t xml:space="preserve">own backup. Core’s native-profile backup must not be assumed to include</w:t>
      </w:r>
      <w:r>
        <w:t xml:space="preserve"> </w:t>
      </w:r>
      <w:r>
        <w:t xml:space="preserve">an external Station data directory. Stop writers during a coordinated</w:t>
      </w:r>
      <w:r>
        <w:t xml:space="preserve"> </w:t>
      </w:r>
      <w:r>
        <w:t xml:space="preserve">backup. Preserve failed media attempts and logs.</w:t>
      </w:r>
    </w:p>
    <w:p>
      <w:pPr>
        <w:pStyle w:val="BodyText"/>
      </w:pPr>
      <w:r>
        <w:t xml:space="preserve">On failure, record the time, selected composition,</w:t>
      </w:r>
      <w:r>
        <w:t xml:space="preserve"> </w:t>
      </w:r>
      <w:r>
        <w:t xml:space="preserve">component/installer versions and exact message. Check System Health for</w:t>
      </w:r>
      <w:r>
        <w:t xml:space="preserve"> </w:t>
      </w:r>
      <w:r>
        <w:t xml:space="preserve">stopped, starting, ready or failed dependencies. Use the existing Retry</w:t>
      </w:r>
      <w:r>
        <w:t xml:space="preserve"> </w:t>
      </w:r>
      <w:r>
        <w:t xml:space="preserve">control after readiness; do not create duplicate business records to</w:t>
      </w:r>
      <w:r>
        <w:t xml:space="preserve"> </w:t>
      </w:r>
      <w:r>
        <w:t xml:space="preserve">refresh a stale view. Share only a redacted diagnostic bundle. Preserve</w:t>
      </w:r>
      <w:r>
        <w:t xml:space="preserve"> </w:t>
      </w:r>
      <w:r>
        <w:t xml:space="preserve">secrets, original evidence, recovery material and unrelated</w:t>
      </w:r>
      <w:r>
        <w:t xml:space="preserve"> </w:t>
      </w:r>
      <w:r>
        <w:t xml:space="preserve">installations.</w:t>
      </w:r>
    </w:p>
    <w:bookmarkEnd w:id="70"/>
    <w:bookmarkStart w:id="71" w:name="troubleshooting"/>
    <w:p>
      <w:pPr>
        <w:pStyle w:val="Heading2"/>
      </w:pPr>
      <w:r>
        <w:t xml:space="preserve">Troubleshooting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</w:t>
            </w:r>
          </w:p>
        </w:tc>
        <w:tc>
          <w:tcPr/>
          <w:p>
            <w:pPr>
              <w:pStyle w:val="Compact"/>
            </w:pPr>
            <w:r>
              <w:t xml:space="preserve">Likely meaning</w:t>
            </w:r>
          </w:p>
        </w:tc>
        <w:tc>
          <w:tcPr/>
          <w:p>
            <w:pPr>
              <w:pStyle w:val="Compact"/>
            </w:pPr>
            <w:r>
              <w:t xml:space="preserve">Next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Workspace absent</w:t>
            </w:r>
          </w:p>
        </w:tc>
        <w:tc>
          <w:tcPr/>
          <w:p>
            <w:pPr>
              <w:pStyle w:val="Compact"/>
            </w:pPr>
            <w:r>
              <w:t xml:space="preserve">Wrong product composition or unavailable canonical runtime.</w:t>
            </w:r>
          </w:p>
        </w:tc>
        <w:tc>
          <w:tcPr/>
          <w:p>
            <w:pPr>
              <w:pStyle w:val="Compact"/>
            </w:pPr>
            <w:r>
              <w:t xml:space="preserve">Check selected composition; activate through Finish Records</w:t>
            </w:r>
            <w:r>
              <w:t xml:space="preserve"> </w:t>
            </w:r>
            <w:r>
              <w:t xml:space="preserve">Migration; wait for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Cannot sign in / 401</w:t>
            </w:r>
          </w:p>
        </w:tc>
        <w:tc>
          <w:tcPr/>
          <w:p>
            <w:pPr>
              <w:pStyle w:val="Compact"/>
            </w:pPr>
            <w:r>
              <w:t xml:space="preserve">Missing or expired named account session.</w:t>
            </w:r>
          </w:p>
        </w:tc>
        <w:tc>
          <w:tcPr/>
          <w:p>
            <w:pPr>
              <w:pStyle w:val="Compact"/>
            </w:pPr>
            <w:r>
              <w:t xml:space="preserve">Sign in normally; reopen a Station launch ticket if applicable.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Permission denied / 403</w:t>
            </w:r>
          </w:p>
        </w:tc>
        <w:tc>
          <w:tcPr/>
          <w:p>
            <w:pPr>
              <w:pStyle w:val="Compact"/>
            </w:pPr>
            <w:r>
              <w:t xml:space="preserve">Account, module, source or browser-origin permission.</w:t>
            </w:r>
          </w:p>
        </w:tc>
        <w:tc>
          <w:tcPr/>
          <w:p>
            <w:pPr>
              <w:pStyle w:val="Compact"/>
            </w:pPr>
            <w:r>
              <w:t xml:space="preserve">Ask the authorized administrator to inspect the intended permission;</w:t>
            </w:r>
            <w:r>
              <w:t xml:space="preserve"> </w:t>
            </w:r>
            <w:r>
              <w:t xml:space="preserve">do not invent role headers.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Save conflict / 409</w:t>
            </w:r>
          </w:p>
        </w:tc>
        <w:tc>
          <w:tcPr/>
          <w:p>
            <w:pPr>
              <w:pStyle w:val="Compact"/>
            </w:pPr>
            <w:r>
              <w:t xml:space="preserve">The saved revision, expected source hash or lifecycle changed.</w:t>
            </w:r>
          </w:p>
        </w:tc>
        <w:tc>
          <w:tcPr/>
          <w:p>
            <w:pPr>
              <w:pStyle w:val="Compact"/>
            </w:pPr>
            <w:r>
              <w:t xml:space="preserve">Keep edits, reopen current state and reconcile deliberately.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Invalid input / 422</w:t>
            </w:r>
          </w:p>
        </w:tc>
        <w:tc>
          <w:tcPr/>
          <w:p>
            <w:pPr>
              <w:pStyle w:val="Compact"/>
            </w:pPr>
            <w:r>
              <w:t xml:space="preserve">Required field, format, geometry, source envelope or state is</w:t>
            </w:r>
            <w:r>
              <w:t xml:space="preserve"> </w:t>
            </w:r>
            <w:r>
              <w:t xml:space="preserve">invalid.</w:t>
            </w:r>
          </w:p>
        </w:tc>
        <w:tc>
          <w:tcPr/>
          <w:p>
            <w:pPr>
              <w:pStyle w:val="Compact"/>
            </w:pPr>
            <w:r>
              <w:t xml:space="preserve">Read the field detail and correct the input/source; preserve</w:t>
            </w:r>
            <w:r>
              <w:t xml:space="preserve"> </w:t>
            </w:r>
            <w:r>
              <w:t xml:space="preserve">originals.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 unavailable / 503</w:t>
            </w:r>
          </w:p>
        </w:tc>
        <w:tc>
          <w:tcPr/>
          <w:p>
            <w:pPr>
              <w:pStyle w:val="Compact"/>
            </w:pPr>
            <w:r>
              <w:t xml:space="preserve">Database, schema, connected source or configuration</w:t>
            </w:r>
            <w:r>
              <w:t xml:space="preserve"> </w:t>
            </w:r>
            <w:r>
              <w:t xml:space="preserve">unavailable.</w:t>
            </w:r>
          </w:p>
        </w:tc>
        <w:tc>
          <w:tcPr/>
          <w:p>
            <w:pPr>
              <w:pStyle w:val="Compact"/>
            </w:pPr>
            <w:r>
              <w:t xml:space="preserve">Inspect System Health and the named dependency. Preserve work; retry</w:t>
            </w:r>
            <w:r>
              <w:t xml:space="preserve"> </w:t>
            </w:r>
            <w:r>
              <w:t xml:space="preserve">only after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Export refused</w:t>
            </w:r>
          </w:p>
        </w:tc>
        <w:tc>
          <w:tcPr/>
          <w:p>
            <w:pPr>
              <w:pStyle w:val="Compact"/>
            </w:pPr>
            <w:r>
              <w:t xml:space="preserve">Missing exact review, approval, audience or source</w:t>
            </w:r>
            <w:r>
              <w:t xml:space="preserve"> </w:t>
            </w:r>
            <w:r>
              <w:t xml:space="preserve">authorization.</w:t>
            </w:r>
          </w:p>
        </w:tc>
        <w:tc>
          <w:tcPr/>
          <w:p>
            <w:pPr>
              <w:pStyle w:val="Compact"/>
            </w:pPr>
            <w:r>
              <w:t xml:space="preserve">Read the refusal and complete the owning product’s explicit</w:t>
            </w:r>
            <w:r>
              <w:t xml:space="preserve"> </w:t>
            </w:r>
            <w:r>
              <w:t xml:space="preserve">decision.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Restore needs service start</w:t>
            </w:r>
          </w:p>
        </w:tc>
        <w:tc>
          <w:tcPr/>
          <w:p>
            <w:pPr>
              <w:pStyle w:val="Compact"/>
            </w:pPr>
            <w:r>
              <w:t xml:space="preserve">The snapshot was restored but services have not resumed.</w:t>
            </w:r>
          </w:p>
        </w:tc>
        <w:tc>
          <w:tcPr/>
          <w:p>
            <w:pPr>
              <w:pStyle w:val="Compact"/>
            </w:pPr>
            <w:r>
              <w:t xml:space="preserve">Use Start, then Check and verify a saved record; do not blindly</w:t>
            </w:r>
            <w:r>
              <w:t xml:space="preserve"> </w:t>
            </w:r>
            <w:r>
              <w:t xml:space="preserve">repeat restore.</w:t>
            </w:r>
          </w:p>
        </w:tc>
      </w:tr>
    </w:tbl>
    <w:bookmarkEnd w:id="71"/>
    <w:bookmarkStart w:id="73" w:name="verified-workflows-and-limits"/>
    <w:p>
      <w:pPr>
        <w:pStyle w:val="Heading2"/>
      </w:pPr>
      <w:r>
        <w:t xml:space="preserve">Verified workflows and</w:t>
      </w:r>
      <w:r>
        <w:t xml:space="preserve"> </w:t>
      </w:r>
      <w:r>
        <w:t xml:space="preserve">limits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Recorded result</w:t>
            </w:r>
          </w:p>
        </w:tc>
        <w:tc>
          <w:tcPr/>
          <w:p>
            <w:pPr>
              <w:pStyle w:val="Compact"/>
            </w:pPr>
            <w:r>
              <w:t xml:space="preserve">Precisely exercised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Core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Normal empty-profile setup; canonical activation; UI-created staff</w:t>
            </w:r>
            <w:r>
              <w:t xml:space="preserve"> </w:t>
            </w:r>
            <w:r>
              <w:t xml:space="preserve">and sign-in; staff denied user administration; coherent backup,</w:t>
            </w:r>
            <w:r>
              <w:t xml:space="preserve"> </w:t>
            </w:r>
            <w:r>
              <w:t xml:space="preserve">mutation, restore, Start/Check and retained/absent record readback.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Records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Intake, note, original attachment/readback, separate release copy,</w:t>
            </w:r>
            <w:r>
              <w:t xml:space="preserve"> </w:t>
            </w:r>
            <w:r>
              <w:t xml:space="preserve">explicit release decision, draft/approval, approved response and release</w:t>
            </w:r>
            <w:r>
              <w:t xml:space="preserve"> </w:t>
            </w:r>
            <w:r>
              <w:t xml:space="preserve">package exports, fulfillment/readback and native workspace.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Meetings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Meeting/agenda, packet assembly, motion/vote, supplied transcript,</w:t>
            </w:r>
            <w:r>
              <w:t xml:space="preserve"> </w:t>
            </w:r>
            <w:r>
              <w:t xml:space="preserve">reviewed/adopted minutes, restricted local archive and proceedings</w:t>
            </w:r>
            <w:r>
              <w:t xml:space="preserve"> </w:t>
            </w:r>
            <w:r>
              <w:t xml:space="preserve">readback; Code decision integration.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Synthetic official source import, exact citation/history/export;</w:t>
            </w:r>
            <w:r>
              <w:t xml:space="preserve"> </w:t>
            </w:r>
            <w:r>
              <w:t xml:space="preserve">proposal into Meetings, recorded adoption and separately codified</w:t>
            </w:r>
            <w:r>
              <w:t xml:space="preserve"> </w:t>
            </w:r>
            <w:r>
              <w:t xml:space="preserve">version; native connection readback.</w:t>
            </w:r>
          </w:p>
        </w:tc>
      </w:tr>
      <w:tr>
        <w:tc>
          <w:tcPr/>
          <w:p>
            <w:pPr>
              <w:pStyle w:val="Compact"/>
            </w:pPr>
            <w:r>
              <w:t xml:space="preserve">Zoning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GeoJSON/PostGIS import, cited dimensional rule, parcel answer, staff</w:t>
            </w:r>
            <w:r>
              <w:t xml:space="preserve"> </w:t>
            </w:r>
            <w:r>
              <w:t xml:space="preserve">review/history/snapshot and native workspace.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Planning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Adopted source import with neighborhood, saved/reviewed analysis and</w:t>
            </w:r>
            <w:r>
              <w:t xml:space="preserve"> </w:t>
            </w:r>
            <w:r>
              <w:t xml:space="preserve">snapshot, persisted initiative/history and draft amendment, public</w:t>
            </w:r>
            <w:r>
              <w:t xml:space="preserve"> </w:t>
            </w:r>
            <w:r>
              <w:t xml:space="preserve">explorer neighborhood readback and native workspace.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Permitting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Retained requirement import, source-grounded</w:t>
            </w:r>
            <w:r>
              <w:t xml:space="preserve"> </w:t>
            </w:r>
            <w:r>
              <w:t xml:space="preserve">materials/pathway/timing, saved intake/review, separate hash-checked</w:t>
            </w:r>
            <w:r>
              <w:t xml:space="preserve"> </w:t>
            </w:r>
            <w:r>
              <w:t xml:space="preserve">Records copy and private handoff; contact exclusion; native</w:t>
            </w:r>
            <w:r>
              <w:t xml:space="preserve"> </w:t>
            </w:r>
            <w:r>
              <w:t xml:space="preserve">workspace.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Inspections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Retained original/hash, supplied observations and voice summary,</w:t>
            </w:r>
            <w:r>
              <w:t xml:space="preserve"> </w:t>
            </w:r>
            <w:r>
              <w:t xml:space="preserve">saved/reviewed case/readback, separate exact Records copy and private</w:t>
            </w:r>
            <w:r>
              <w:t xml:space="preserve"> </w:t>
            </w:r>
            <w:r>
              <w:t xml:space="preserve">handoff; address exclusion; native workspace.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Station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Actual native staff session and normally created meeting; headless</w:t>
            </w:r>
            <w:r>
              <w:t xml:space="preserve"> </w:t>
            </w:r>
            <w:r>
              <w:t xml:space="preserve">operator live start/stop, decoded generated audio/video, served hash,</w:t>
            </w:r>
            <w:r>
              <w:t xml:space="preserve"> </w:t>
            </w:r>
            <w:r>
              <w:t xml:space="preserve">private Records readback, idempotent locked original and logout.</w:t>
            </w:r>
          </w:p>
        </w:tc>
      </w:tr>
    </w:tbl>
    <w:p>
      <w:pPr>
        <w:pStyle w:val="BodyText"/>
      </w:pPr>
      <w:r>
        <w:t xml:space="preserve">The</w:t>
      </w:r>
      <w:r>
        <w:t xml:space="preserve"> </w:t>
      </w:r>
      <w:hyperlink r:id="rId10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records the installed Windows checks for this MSI. The earlier Station delivery evidence applies to its original build.</w:t>
      </w:r>
    </w:p>
    <w:p>
      <w:pPr>
        <w:pStyle w:val="BodyText"/>
      </w:pPr>
      <w:r>
        <w:t xml:space="preserve">See the</w:t>
      </w:r>
      <w:r>
        <w:t xml:space="preserve"> </w:t>
      </w:r>
      <w:hyperlink r:id="rId10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this MSI. The historical</w:t>
      </w:r>
      <w:r>
        <w:t xml:space="preserve"> </w:t>
      </w:r>
      <w:hyperlink r:id="rId72">
        <w:r>
          <w:rPr>
            <w:rStyle w:val="Hyperlink"/>
          </w:rPr>
          <w:t xml:space="preserve">evidence index</w:t>
        </w:r>
      </w:hyperlink>
      <w:r>
        <w:t xml:space="preserve"> </w:t>
      </w:r>
      <w:r>
        <w:t xml:space="preserve">applies to its original build.</w:t>
      </w:r>
    </w:p>
    <w:p>
      <w:pPr>
        <w:pStyle w:val="BodyText"/>
      </w:pPr>
      <w:r>
        <w:t xml:space="preserve">The limits remain: actual city field acceptance and equipment/network</w:t>
      </w:r>
      <w:r>
        <w:t xml:space="preserve"> </w:t>
      </w:r>
      <w:r>
        <w:t xml:space="preserve">commissioning; Station automatic provisioning/SCM commissioning; every</w:t>
      </w:r>
      <w:r>
        <w:t xml:space="preserve"> </w:t>
      </w:r>
      <w:r>
        <w:t xml:space="preserve">UI/role combination; field recognition accuracy; and historical in-place</w:t>
      </w:r>
      <w:r>
        <w:t xml:space="preserve"> </w:t>
      </w:r>
      <w:r>
        <w:t xml:space="preserve">upgrades are not certified. They are not five invented feature</w:t>
      </w:r>
      <w:r>
        <w:t xml:space="preserve"> </w:t>
      </w:r>
      <w:r>
        <w:t xml:space="preserve">requirements. Fresh-install controlled beta handoff remains the accepted</w:t>
      </w:r>
      <w:r>
        <w:t xml:space="preserve"> </w:t>
      </w:r>
      <w:r>
        <w:t xml:space="preserve">scope. This package makes no city-deployment, publication or</w:t>
      </w:r>
      <w:r>
        <w:t xml:space="preserve"> </w:t>
      </w:r>
      <w:r>
        <w:t xml:space="preserve">general-availability claim.</w:t>
      </w:r>
    </w:p>
    <w:bookmarkEnd w:id="73"/>
    <w:bookmarkStart w:id="85" w:name="terms-of-service-and-license"/>
    <w:p>
      <w:pPr>
        <w:pStyle w:val="Heading2"/>
      </w:pPr>
      <w:r>
        <w:t xml:space="preserve">Terms of service and license</w:t>
      </w:r>
    </w:p>
    <w:bookmarkStart w:id="74" w:name="scope-and-status"/>
    <w:p>
      <w:pPr>
        <w:pStyle w:val="Heading3"/>
      </w:pPr>
      <w:r>
        <w:t xml:space="preserve">Scope and status</w:t>
      </w:r>
    </w:p>
    <w:p>
      <w:pPr>
        <w:pStyle w:val="FirstParagraph"/>
      </w:pPr>
      <w:r>
        <w:t xml:space="preserve">These terms describe the Townlight Beta 1 software and this</w:t>
      </w:r>
      <w:r>
        <w:t xml:space="preserve"> </w:t>
      </w:r>
      <w:r>
        <w:t xml:space="preserve">documentation package. This is a public beta software distribution. It</w:t>
      </w:r>
      <w:r>
        <w:t xml:space="preserve"> </w:t>
      </w:r>
      <w:r>
        <w:t xml:space="preserve">does not create a hosted-service subscription or a city deployment</w:t>
      </w:r>
      <w:r>
        <w:t xml:space="preserve"> </w:t>
      </w:r>
      <w:r>
        <w:t xml:space="preserve">agreement. No uptime commitment, support response time, indemnity,</w:t>
      </w:r>
      <w:r>
        <w:t xml:space="preserve"> </w:t>
      </w:r>
      <w:r>
        <w:t xml:space="preserve">data-processing agreement or paid service is created by these documents.</w:t>
      </w:r>
      <w:r>
        <w:t xml:space="preserve"> </w:t>
      </w:r>
      <w:r>
        <w:t xml:space="preserve">A separate signed agreement, if any, governs services it actually</w:t>
      </w:r>
      <w:r>
        <w:t xml:space="preserve"> </w:t>
      </w:r>
      <w:r>
        <w:t xml:space="preserve">provides.</w:t>
      </w:r>
    </w:p>
    <w:bookmarkEnd w:id="74"/>
    <w:bookmarkStart w:id="77" w:name="software-license-and-rights"/>
    <w:p>
      <w:pPr>
        <w:pStyle w:val="Heading3"/>
      </w:pPr>
      <w:r>
        <w:t xml:space="preserve">Software license and rights</w:t>
      </w:r>
    </w:p>
    <w:p>
      <w:pPr>
        <w:pStyle w:val="FirstParagraph"/>
      </w:pPr>
      <w:r>
        <w:t xml:space="preserve">Current Townlight-owned distributions identified in this candidate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AGPL-3.0-only</w:t>
      </w:r>
      <w:r>
        <w:t xml:space="preserve">. The full license is supplied with</w:t>
      </w:r>
      <w:r>
        <w:t xml:space="preserve"> </w:t>
      </w:r>
      <w:r>
        <w:t xml:space="preserve">this documentation and with the source companion. The license governs</w:t>
      </w:r>
      <w:r>
        <w:t xml:space="preserve"> </w:t>
      </w:r>
      <w:r>
        <w:t xml:space="preserve">rights to run, copy, modify and convey the covered software; these</w:t>
      </w:r>
      <w:r>
        <w:t xml:space="preserve"> </w:t>
      </w:r>
      <w:r>
        <w:t xml:space="preserve">operational terms do not add restrictions to those rights. Historical</w:t>
      </w:r>
      <w:r>
        <w:t xml:space="preserve"> </w:t>
      </w:r>
      <w:r>
        <w:t xml:space="preserve">grants and dependency licenses retain their own terms. CivicCast remains</w:t>
      </w:r>
      <w:r>
        <w:t xml:space="preserve"> </w:t>
      </w:r>
      <w:r>
        <w:t xml:space="preserve">a separate product and is not relicensed by this documentation work.</w:t>
      </w:r>
    </w:p>
    <w:p>
      <w:pPr>
        <w:pStyle w:val="BodyText"/>
      </w:pPr>
      <w:r>
        <w:t xml:space="preserve">When conveying covered software, retain applicable notices and</w:t>
      </w:r>
      <w:r>
        <w:t xml:space="preserve"> </w:t>
      </w:r>
      <w:r>
        <w:t xml:space="preserve">provide the corresponding source and installation/build information</w:t>
      </w:r>
      <w:r>
        <w:t xml:space="preserve"> </w:t>
      </w:r>
      <w:r>
        <w:t xml:space="preserve">required by the license. For a modified version supporting remote</w:t>
      </w:r>
      <w:r>
        <w:t xml:space="preserve"> </w:t>
      </w:r>
      <w:r>
        <w:t xml:space="preserve">network interaction, follow section 13’s source-offer requirement. The</w:t>
      </w:r>
      <w:r>
        <w:t xml:space="preserve"> </w:t>
      </w:r>
      <w:r>
        <w:t xml:space="preserve">companion archive identifies the source for this candidate; a link to a</w:t>
      </w:r>
      <w:r>
        <w:t xml:space="preserve"> </w:t>
      </w:r>
      <w:r>
        <w:t xml:space="preserve">different public branch is not a substitute for the matching source.</w:t>
      </w:r>
      <w:r>
        <w:t xml:space="preserve"> </w:t>
      </w:r>
      <w:r>
        <w:t xml:space="preserve">Read the supplied license for the complete conditions. See the</w:t>
      </w:r>
      <w:r>
        <w:t xml:space="preserve"> </w:t>
      </w:r>
      <w:hyperlink r:id="rId75">
        <w:r>
          <w:rPr>
            <w:rStyle w:val="Hyperlink"/>
          </w:rPr>
          <w:t xml:space="preserve">GNU license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and</w:t>
      </w:r>
      <w:r>
        <w:t xml:space="preserve"> </w:t>
      </w:r>
      <w:hyperlink r:id="rId76">
        <w:r>
          <w:rPr>
            <w:rStyle w:val="Hyperlink"/>
          </w:rPr>
          <w:t xml:space="preserve">GNU licensing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FAQ</w:t>
        </w:r>
      </w:hyperlink>
      <w:r>
        <w:t xml:space="preserve">.</w:t>
      </w:r>
    </w:p>
    <w:bookmarkEnd w:id="77"/>
    <w:bookmarkStart w:id="78" w:name="data-ownership-and-access"/>
    <w:p>
      <w:pPr>
        <w:pStyle w:val="Heading3"/>
      </w:pPr>
      <w:r>
        <w:t xml:space="preserve">Data ownership and access</w:t>
      </w:r>
    </w:p>
    <w:p>
      <w:pPr>
        <w:pStyle w:val="FirstParagraph"/>
      </w:pPr>
      <w:r>
        <w:t xml:space="preserve">Importing a document does not transfer its ownership or grant</w:t>
      </w:r>
      <w:r>
        <w:t xml:space="preserve"> </w:t>
      </w:r>
      <w:r>
        <w:t xml:space="preserve">permission to publish it. The operating organization controls its</w:t>
      </w:r>
      <w:r>
        <w:t xml:space="preserve"> </w:t>
      </w:r>
      <w:r>
        <w:t xml:space="preserve">accounts, access decisions, lawful source use, retention and</w:t>
      </w:r>
      <w:r>
        <w:t xml:space="preserve"> </w:t>
      </w:r>
      <w:r>
        <w:t xml:space="preserve">review/release policy. Keep resident information, credentials, private</w:t>
      </w:r>
      <w:r>
        <w:t xml:space="preserve"> </w:t>
      </w:r>
      <w:r>
        <w:t xml:space="preserve">notes and restricted evidence in their authorized locations.</w:t>
      </w:r>
      <w:r>
        <w:t xml:space="preserve"> </w:t>
      </w:r>
      <w:r>
        <w:t xml:space="preserve">Documentation examples contain fictional data. No real city account,</w:t>
      </w:r>
      <w:r>
        <w:t xml:space="preserve"> </w:t>
      </w:r>
      <w:r>
        <w:t xml:space="preserve">credential or record is required to exercise these examples in an</w:t>
      </w:r>
      <w:r>
        <w:t xml:space="preserve"> </w:t>
      </w:r>
      <w:r>
        <w:t xml:space="preserve">isolated test environment.</w:t>
      </w:r>
    </w:p>
    <w:bookmarkEnd w:id="78"/>
    <w:bookmarkStart w:id="79" w:name="local-operation-and-external-processors"/>
    <w:p>
      <w:pPr>
        <w:pStyle w:val="Heading3"/>
      </w:pPr>
      <w:r>
        <w:t xml:space="preserve">Local operation and</w:t>
      </w:r>
      <w:r>
        <w:t xml:space="preserve"> </w:t>
      </w:r>
      <w:r>
        <w:t xml:space="preserve">external processors</w:t>
      </w:r>
    </w:p>
    <w:p>
      <w:pPr>
        <w:pStyle w:val="FirstParagraph"/>
      </w:pPr>
      <w:r>
        <w:t xml:space="preserve">The accepted beta workflow is local and uses named staff accounts.</w:t>
      </w:r>
      <w:r>
        <w:t xml:space="preserve"> </w:t>
      </w:r>
      <w:r>
        <w:t xml:space="preserve">Station has separate storage and credentials. Configure backup</w:t>
      </w:r>
      <w:r>
        <w:t xml:space="preserve"> </w:t>
      </w:r>
      <w:r>
        <w:t xml:space="preserve">destinations and optional model/network providers deliberately. A</w:t>
      </w:r>
      <w:r>
        <w:t xml:space="preserve"> </w:t>
      </w:r>
      <w:r>
        <w:t xml:space="preserve">configured external provider may receive submitted prompts, images or</w:t>
      </w:r>
      <w:r>
        <w:t xml:space="preserve"> </w:t>
      </w:r>
      <w:r>
        <w:t xml:space="preserve">audio according to that configuration and provider’s terms; this</w:t>
      </w:r>
      <w:r>
        <w:t xml:space="preserve"> </w:t>
      </w:r>
      <w:r>
        <w:t xml:space="preserve">documentation does not promise that every optional configuration is</w:t>
      </w:r>
      <w:r>
        <w:t xml:space="preserve"> </w:t>
      </w:r>
      <w:r>
        <w:t xml:space="preserve">offline. An email outbox or local public view does not establish</w:t>
      </w:r>
      <w:r>
        <w:t xml:space="preserve"> </w:t>
      </w:r>
      <w:r>
        <w:t xml:space="preserve">external delivery or an internet deployment. This static documentation</w:t>
      </w:r>
      <w:r>
        <w:t xml:space="preserve"> </w:t>
      </w:r>
      <w:r>
        <w:t xml:space="preserve">site has no analytics, account collection or remote font dependency.</w:t>
      </w:r>
    </w:p>
    <w:bookmarkEnd w:id="79"/>
    <w:bookmarkStart w:id="80" w:name="staff-decisions-and-source-applicability"/>
    <w:p>
      <w:pPr>
        <w:pStyle w:val="Heading3"/>
      </w:pPr>
      <w:r>
        <w:t xml:space="preserve">Staff decisions and</w:t>
      </w:r>
      <w:r>
        <w:t xml:space="preserve"> </w:t>
      </w:r>
      <w:r>
        <w:t xml:space="preserve">source applicability</w:t>
      </w:r>
    </w:p>
    <w:p>
      <w:pPr>
        <w:pStyle w:val="FirstParagraph"/>
      </w:pPr>
      <w:r>
        <w:t xml:space="preserve">Staff verify the jurisdiction, source currency, permissions,</w:t>
      </w:r>
      <w:r>
        <w:t xml:space="preserve"> </w:t>
      </w:r>
      <w:r>
        <w:t xml:space="preserve">citations and proposed audience. Model output and generated guidance</w:t>
      </w:r>
      <w:r>
        <w:t xml:space="preserve"> </w:t>
      </w:r>
      <w:r>
        <w:t xml:space="preserve">require review. No draft is automatically an official legal</w:t>
      </w:r>
      <w:r>
        <w:t xml:space="preserve"> </w:t>
      </w:r>
      <w:r>
        <w:t xml:space="preserve">interpretation, zoning determination, permit approval, fee assessment,</w:t>
      </w:r>
      <w:r>
        <w:t xml:space="preserve"> </w:t>
      </w:r>
      <w:r>
        <w:t xml:space="preserve">enforcement notice or records-release decision. Official permit fee</w:t>
      </w:r>
      <w:r>
        <w:t xml:space="preserve"> </w:t>
      </w:r>
      <w:r>
        <w:t xml:space="preserve">authority remains with the adopted source and responsible organization;</w:t>
      </w:r>
      <w:r>
        <w:t xml:space="preserve"> </w:t>
      </w:r>
      <w:r>
        <w:t xml:space="preserve">imported amounts do not become a new authoritative calculation.</w:t>
      </w:r>
    </w:p>
    <w:bookmarkEnd w:id="80"/>
    <w:bookmarkStart w:id="81" w:name="beta-operation-and-recovery"/>
    <w:p>
      <w:pPr>
        <w:pStyle w:val="Heading3"/>
      </w:pPr>
      <w:r>
        <w:t xml:space="preserve">Beta operation and recovery</w:t>
      </w:r>
    </w:p>
    <w:p>
      <w:pPr>
        <w:pStyle w:val="FirstParagraph"/>
      </w:pPr>
      <w:r>
        <w:t xml:space="preserve">Use the identified candidate in its supported fresh-install scope.</w:t>
      </w:r>
      <w:r>
        <w:t xml:space="preserve"> </w:t>
      </w:r>
      <w:r>
        <w:t xml:space="preserve">Preserve backups and original evidence. Test physical equipment and</w:t>
      </w:r>
      <w:r>
        <w:t xml:space="preserve"> </w:t>
      </w:r>
      <w:r>
        <w:t xml:space="preserve">chosen network/service configuration before relying on them. The</w:t>
      </w:r>
      <w:r>
        <w:t xml:space="preserve"> </w:t>
      </w:r>
      <w:r>
        <w:t xml:space="preserve">supplied acceptance describes selected synthetic workflows, not every</w:t>
      </w:r>
      <w:r>
        <w:t xml:space="preserve"> </w:t>
      </w:r>
      <w:r>
        <w:t xml:space="preserve">screen, vendor, field condition or upgrade. Operators decide whether a</w:t>
      </w:r>
      <w:r>
        <w:t xml:space="preserve"> </w:t>
      </w:r>
      <w:r>
        <w:t xml:space="preserve">particular deployment meets their own operational obligations.</w:t>
      </w:r>
    </w:p>
    <w:bookmarkEnd w:id="81"/>
    <w:bookmarkStart w:id="82" w:name="warranty-and-liability"/>
    <w:p>
      <w:pPr>
        <w:pStyle w:val="Heading3"/>
      </w:pPr>
      <w:r>
        <w:t xml:space="preserve">Warranty and liability</w:t>
      </w:r>
    </w:p>
    <w:p>
      <w:pPr>
        <w:pStyle w:val="FirstParagraph"/>
      </w:pPr>
      <w:r>
        <w:t xml:space="preserve">The covered software’s warranty and liability conditions are those in</w:t>
      </w:r>
      <w:r>
        <w:t xml:space="preserve"> </w:t>
      </w:r>
      <w:r>
        <w:t xml:space="preserve">sections 15–17 of the supplied AGPL and any applicable separate written</w:t>
      </w:r>
      <w:r>
        <w:t xml:space="preserve"> </w:t>
      </w:r>
      <w:r>
        <w:t xml:space="preserve">undertaking. This documentation creates no additional warranty or</w:t>
      </w:r>
      <w:r>
        <w:t xml:space="preserve"> </w:t>
      </w:r>
      <w:r>
        <w:t xml:space="preserve">limitation beyond those terms. Third-party software is subject to its</w:t>
      </w:r>
      <w:r>
        <w:t xml:space="preserve"> </w:t>
      </w:r>
      <w:r>
        <w:t xml:space="preserve">retained license notices. Nothing here removes rights that applicable</w:t>
      </w:r>
      <w:r>
        <w:t xml:space="preserve"> </w:t>
      </w:r>
      <w:r>
        <w:t xml:space="preserve">law makes nonwaivable.</w:t>
      </w:r>
    </w:p>
    <w:bookmarkEnd w:id="82"/>
    <w:bookmarkStart w:id="83" w:name="support-and-incident-reporting"/>
    <w:p>
      <w:pPr>
        <w:pStyle w:val="Heading3"/>
      </w:pPr>
      <w:r>
        <w:t xml:space="preserve">Support and incident</w:t>
      </w:r>
      <w:r>
        <w:t xml:space="preserve"> </w:t>
      </w:r>
      <w:r>
        <w:t xml:space="preserve">reporting</w:t>
      </w:r>
    </w:p>
    <w:p>
      <w:pPr>
        <w:pStyle w:val="FirstParagraph"/>
      </w:pPr>
      <w:r>
        <w:t xml:space="preserve">Use the project’s existing SUPPORT and SECURITY guidance for its</w:t>
      </w:r>
      <w:r>
        <w:t xml:space="preserve"> </w:t>
      </w:r>
      <w:r>
        <w:t xml:space="preserve">matching repository. Report reproducible behavior with the version,</w:t>
      </w:r>
      <w:r>
        <w:t xml:space="preserve"> </w:t>
      </w:r>
      <w:r>
        <w:t xml:space="preserve">operation and redacted logs. Do not put credentials, resident records or</w:t>
      </w:r>
      <w:r>
        <w:t xml:space="preserve"> </w:t>
      </w:r>
      <w:r>
        <w:t xml:space="preserve">unredacted evidence in a public issue. Coordinate sensitive reports</w:t>
      </w:r>
      <w:r>
        <w:t xml:space="preserve"> </w:t>
      </w:r>
      <w:r>
        <w:t xml:space="preserve">through the channel designated in SECURITY. No new support address or</w:t>
      </w:r>
      <w:r>
        <w:t xml:space="preserve"> </w:t>
      </w:r>
      <w:r>
        <w:t xml:space="preserve">service commitment is invented here.</w:t>
      </w:r>
    </w:p>
    <w:bookmarkEnd w:id="83"/>
    <w:bookmarkStart w:id="84" w:name="X31f05bddf6aa9d1ff47b7e67ed4759e27e0b8e9"/>
    <w:p>
      <w:pPr>
        <w:pStyle w:val="Heading3"/>
      </w:pPr>
      <w:r>
        <w:t xml:space="preserve">Ending a beta</w:t>
      </w:r>
      <w:r>
        <w:t xml:space="preserve"> </w:t>
      </w:r>
      <w:r>
        <w:t xml:space="preserve">exercise and document changes</w:t>
      </w:r>
    </w:p>
    <w:p>
      <w:pPr>
        <w:pStyle w:val="FirstParagraph"/>
      </w:pPr>
      <w:r>
        <w:t xml:space="preserve">When an organization ends testing, it controls retention/export and</w:t>
      </w:r>
      <w:r>
        <w:t xml:space="preserve"> </w:t>
      </w:r>
      <w:r>
        <w:t xml:space="preserve">removes access according to its policy. Uninstall may retain data; back</w:t>
      </w:r>
      <w:r>
        <w:t xml:space="preserve"> </w:t>
      </w:r>
      <w:r>
        <w:t xml:space="preserve">up and inspect the selected removal options. Ending an exercise does not</w:t>
      </w:r>
      <w:r>
        <w:t xml:space="preserve"> </w:t>
      </w:r>
      <w:r>
        <w:t xml:space="preserve">revoke rights already granted by AGPL. Later software/documentation</w:t>
      </w:r>
      <w:r>
        <w:t xml:space="preserve"> </w:t>
      </w:r>
      <w:r>
        <w:t xml:space="preserve">versions must identify their changed candidate and scope; historical</w:t>
      </w:r>
      <w:r>
        <w:t xml:space="preserve"> </w:t>
      </w:r>
      <w:r>
        <w:t xml:space="preserve">receipts retain their original identities. These terms do not claim that</w:t>
      </w:r>
      <w:r>
        <w:t xml:space="preserve"> </w:t>
      </w:r>
      <w:r>
        <w:t xml:space="preserve">a city has accepted a contract merely by reading a manual.</w:t>
      </w:r>
    </w:p>
    <w:bookmarkEnd w:id="84"/>
    <w:bookmarkEnd w:id="85"/>
    <w:bookmarkStart w:id="86" w:name="glossary"/>
    <w:p>
      <w:pPr>
        <w:pStyle w:val="Heading2"/>
      </w:pPr>
      <w: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Approval</w:t>
            </w:r>
          </w:p>
        </w:tc>
        <w:tc>
          <w:tcPr/>
          <w:p>
            <w:pPr>
              <w:pStyle w:val="Compact"/>
            </w:pPr>
            <w:r>
              <w:t xml:space="preserve">An explicit authorized decision on the saved text/artifact. It is</w:t>
            </w:r>
            <w:r>
              <w:t xml:space="preserve"> </w:t>
            </w:r>
            <w:r>
              <w:t xml:space="preserve">separate from saving or attachment.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record</w:t>
            </w:r>
          </w:p>
        </w:tc>
        <w:tc>
          <w:tcPr/>
          <w:p>
            <w:pPr>
              <w:pStyle w:val="Compact"/>
            </w:pPr>
            <w:r>
              <w:t xml:space="preserve">The owning product’s retained identity and saved version, rather</w:t>
            </w:r>
            <w:r>
              <w:t xml:space="preserve"> </w:t>
            </w:r>
            <w:r>
              <w:t xml:space="preserve">than an editable copied label.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Composition</w:t>
            </w:r>
          </w:p>
        </w:tc>
        <w:tc>
          <w:tcPr/>
          <w:p>
            <w:pPr>
              <w:pStyle w:val="Compact"/>
            </w:pPr>
            <w:r>
              <w:t xml:space="preserve">The selected set of desktop modules; inspections-preview exposes the</w:t>
            </w:r>
            <w:r>
              <w:t xml:space="preserve"> </w:t>
            </w:r>
            <w:r>
              <w:t xml:space="preserve">eight staff products.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Corresponding source</w:t>
            </w:r>
          </w:p>
        </w:tc>
        <w:tc>
          <w:tcPr/>
          <w:p>
            <w:pPr>
              <w:pStyle w:val="Compact"/>
            </w:pPr>
            <w:r>
              <w:t xml:space="preserve">The source/build material matching the delivered covered program,</w:t>
            </w:r>
            <w:r>
              <w:t xml:space="preserve"> </w:t>
            </w:r>
            <w:r>
              <w:t xml:space="preserve">subject to its license.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Derivative / Records copy</w:t>
            </w:r>
          </w:p>
        </w:tc>
        <w:tc>
          <w:tcPr/>
          <w:p>
            <w:pPr>
              <w:pStyle w:val="Compact"/>
            </w:pPr>
            <w:r>
              <w:t xml:space="preserve">A separately prepared document with its own intended audience and</w:t>
            </w:r>
            <w:r>
              <w:t xml:space="preserve"> </w:t>
            </w:r>
            <w:r>
              <w:t xml:space="preserve">hash.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 / SHA256</w:t>
            </w:r>
          </w:p>
        </w:tc>
        <w:tc>
          <w:tcPr/>
          <w:p>
            <w:pPr>
              <w:pStyle w:val="Compact"/>
            </w:pPr>
            <w:r>
              <w:t xml:space="preserve">A fingerprint of exact bytes. It detects change; it does not</w:t>
            </w:r>
            <w:r>
              <w:t xml:space="preserve"> </w:t>
            </w:r>
            <w:r>
              <w:t xml:space="preserve">establish legal authority.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Idempotency</w:t>
            </w:r>
          </w:p>
        </w:tc>
        <w:tc>
          <w:tcPr/>
          <w:p>
            <w:pPr>
              <w:pStyle w:val="Compact"/>
            </w:pPr>
            <w:r>
              <w:t xml:space="preserve">Repeating the same identified request has the same intended effect;</w:t>
            </w:r>
            <w:r>
              <w:t xml:space="preserve"> </w:t>
            </w:r>
            <w:r>
              <w:t xml:space="preserve">changing its payload can be refused.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IPC</w:t>
            </w:r>
          </w:p>
        </w:tc>
        <w:tc>
          <w:tcPr/>
          <w:p>
            <w:pPr>
              <w:pStyle w:val="Compact"/>
            </w:pPr>
            <w:r>
              <w:t xml:space="preserve">The native desktop command boundary between its browser interface</w:t>
            </w:r>
            <w:r>
              <w:t xml:space="preserve"> </w:t>
            </w:r>
            <w:r>
              <w:t xml:space="preserve">and Rust host.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MCP</w:t>
            </w:r>
          </w:p>
        </w:tc>
        <w:tc>
          <w:tcPr/>
          <w:p>
            <w:pPr>
              <w:pStyle w:val="Compact"/>
            </w:pPr>
            <w:r>
              <w:t xml:space="preserve">Model Context Protocol; no direct Townlight product server is</w:t>
            </w:r>
            <w:r>
              <w:t xml:space="preserve"> </w:t>
            </w:r>
            <w:r>
              <w:t xml:space="preserve">enabled by this beta.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Original</w:t>
            </w:r>
          </w:p>
        </w:tc>
        <w:tc>
          <w:tcPr/>
          <w:p>
            <w:pPr>
              <w:pStyle w:val="Compact"/>
            </w:pPr>
            <w:r>
              <w:t xml:space="preserve">Retained source bytes. A reviewed derivative does not replace</w:t>
            </w:r>
            <w:r>
              <w:t xml:space="preserve"> </w:t>
            </w:r>
            <w:r>
              <w:t xml:space="preserve">them.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</w:t>
            </w:r>
          </w:p>
        </w:tc>
        <w:tc>
          <w:tcPr/>
          <w:p>
            <w:pPr>
              <w:pStyle w:val="Compact"/>
            </w:pPr>
            <w:r>
              <w:t xml:space="preserve">Source, version, date, actor and relationship information retained</w:t>
            </w:r>
            <w:r>
              <w:t xml:space="preserve"> </w:t>
            </w:r>
            <w:r>
              <w:t xml:space="preserve">with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Revision</w:t>
            </w:r>
          </w:p>
        </w:tc>
        <w:tc>
          <w:tcPr/>
          <w:p>
            <w:pPr>
              <w:pStyle w:val="Compact"/>
            </w:pPr>
            <w:r>
              <w:t xml:space="preserve">An immutable saved version. Later edits do not inherit an earlier</w:t>
            </w:r>
            <w:r>
              <w:t xml:space="preserve"> </w:t>
            </w:r>
            <w:r>
              <w:t xml:space="preserve">review automatically.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Snapshot</w:t>
            </w:r>
          </w:p>
        </w:tc>
        <w:tc>
          <w:tcPr/>
          <w:p>
            <w:pPr>
              <w:pStyle w:val="Compact"/>
            </w:pPr>
            <w:r>
              <w:t xml:space="preserve">A fixed audience-specific copy tied to a source/reviewed</w:t>
            </w:r>
            <w:r>
              <w:t xml:space="preserve"> </w:t>
            </w:r>
            <w:r>
              <w:t xml:space="preserve">revision.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Station</w:t>
            </w:r>
          </w:p>
        </w:tc>
        <w:tc>
          <w:tcPr/>
          <w:p>
            <w:pPr>
              <w:pStyle w:val="Compact"/>
            </w:pPr>
            <w:r>
              <w:t xml:space="preserve">Townlight’s separate media boundary using a pinned CivicCast-derived</w:t>
            </w:r>
            <w:r>
              <w:t xml:space="preserve"> </w:t>
            </w:r>
            <w:r>
              <w:t xml:space="preserve">engine; standalone CivicCast remains separate.</w:t>
            </w:r>
          </w:p>
        </w:tc>
      </w:tr>
    </w:tbl>
    <w:bookmarkEnd w:id="86"/>
    <w:bookmarkStart w:id="88" w:name="alphabetical-subject-index"/>
    <w:p>
      <w:pPr>
        <w:pStyle w:val="Heading2"/>
      </w:pPr>
      <w:r>
        <w:t xml:space="preserve">Alphabetical subject index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Accounts and authentication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AGPL and source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API contracts</w:t>
      </w:r>
      <w:r>
        <w:t xml:space="preserve"> </w:t>
      </w:r>
      <w:r>
        <w:t xml:space="preserve">—</w:t>
      </w:r>
      <w:r>
        <w:t xml:space="preserve"> </w:t>
      </w: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Architecture</w:t>
      </w:r>
      <w:r>
        <w:t xml:space="preserve"> </w:t>
      </w:r>
      <w:r>
        <w:t xml:space="preserve">—</w:t>
      </w:r>
      <w:r>
        <w:t xml:space="preserve"> </w:t>
      </w:r>
      <w:hyperlink w:anchor="architecture">
        <w:r>
          <w:rPr>
            <w:rStyle w:val="Hyperlink"/>
          </w:rPr>
          <w:t xml:space="preserve">Architecture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Backup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Beta version</w:t>
      </w:r>
      <w:r>
        <w:t xml:space="preserve"> </w:t>
      </w:r>
      <w:r>
        <w:t xml:space="preserve">—</w:t>
      </w:r>
      <w:r>
        <w:t xml:space="preserve"> </w:t>
      </w: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Evidence and acceptance</w:t>
      </w:r>
      <w:r>
        <w:t xml:space="preserve"> </w:t>
      </w:r>
      <w:r>
        <w:t xml:space="preserve">—</w:t>
      </w:r>
      <w:r>
        <w:t xml:space="preserve"> </w:t>
      </w: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Fees and official decisions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First run</w:t>
      </w:r>
      <w:r>
        <w:t xml:space="preserve"> </w:t>
      </w:r>
      <w:r>
        <w:t xml:space="preserve">—</w:t>
      </w:r>
      <w:r>
        <w:t xml:space="preserve"> </w:t>
      </w:r>
      <w:hyperlink w:anchor="first-run">
        <w:r>
          <w:rPr>
            <w:rStyle w:val="Hyperlink"/>
          </w:rPr>
          <w:t xml:space="preserve">First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run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Handoffs and audience</w:t>
      </w:r>
      <w:r>
        <w:t xml:space="preserve"> </w:t>
      </w:r>
      <w:r>
        <w:t xml:space="preserve">—</w:t>
      </w:r>
      <w:r>
        <w:t xml:space="preserve"> </w:t>
      </w:r>
      <w:hyperlink w:anchor="connected-workflows">
        <w:r>
          <w:rPr>
            <w:rStyle w:val="Hyperlink"/>
          </w:rPr>
          <w:t xml:space="preserve">Connected workflows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MCP</w:t>
      </w:r>
      <w:r>
        <w:t xml:space="preserve"> </w:t>
      </w:r>
      <w:r>
        <w:t xml:space="preserve">—</w:t>
      </w:r>
      <w:r>
        <w:t xml:space="preserve"> </w:t>
      </w:r>
      <w:hyperlink w:anchor="mcp-and-automation-boundary">
        <w:r>
          <w:rPr>
            <w:rStyle w:val="Hyperlink"/>
          </w:rPr>
          <w:t xml:space="preserve">MCP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automation boundary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Originals and provenance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Recovery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Staff procedures</w:t>
      </w:r>
      <w:r>
        <w:t xml:space="preserve"> </w:t>
      </w:r>
      <w:r>
        <w:t xml:space="preserve">—</w:t>
      </w:r>
      <w:r>
        <w:t xml:space="preserve"> </w:t>
      </w: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Station 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Technical stack</w:t>
      </w:r>
      <w:r>
        <w:t xml:space="preserve"> </w:t>
      </w:r>
      <w:r>
        <w:t xml:space="preserve">—</w:t>
      </w:r>
      <w:r>
        <w:t xml:space="preserve"> </w:t>
      </w:r>
      <w:hyperlink w:anchor="technical-specifications">
        <w:r>
          <w:rPr>
            <w:rStyle w:val="Hyperlink"/>
          </w:rPr>
          <w:t xml:space="preserve">Technical specifications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Troubleshooting</w:t>
      </w:r>
      <w:r>
        <w:t xml:space="preserve"> </w:t>
      </w:r>
      <w:r>
        <w:t xml:space="preserve">—</w:t>
      </w:r>
      <w:r>
        <w:t xml:space="preserve"> </w:t>
      </w:r>
      <w:hyperlink w:anchor="troubleshooting">
        <w:r>
          <w:rPr>
            <w:rStyle w:val="Hyperlink"/>
          </w:rPr>
          <w:t xml:space="preserve">Troubleshooting</w:t>
        </w:r>
      </w:hyperlink>
      <w:r>
        <w:t xml:space="preserve">.</w:t>
      </w:r>
    </w:p>
    <w:bookmarkStart w:id="87" w:name="operating-subject-links"/>
    <w:p>
      <w:pPr>
        <w:pStyle w:val="Heading3"/>
      </w:pPr>
      <w:r>
        <w:t xml:space="preserve">Operating subject links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Existing product operating guides</w:t>
      </w:r>
      <w:r>
        <w:t xml:space="preserve"> </w:t>
      </w:r>
      <w:r>
        <w:t xml:space="preserve">—</w:t>
      </w:r>
      <w:r>
        <w:t xml:space="preserve"> </w:t>
      </w:r>
      <w:hyperlink w:anchor="existing-product-operating-guides">
        <w:r>
          <w:rPr>
            <w:rStyle w:val="Hyperlink"/>
          </w:rPr>
          <w:t xml:space="preserve">Existing product operating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guides</w:t>
        </w:r>
      </w:hyperlink>
      <w:r>
        <w:t xml:space="preserve">.</w:t>
      </w:r>
    </w:p>
    <w:bookmarkEnd w:id="87"/>
    <w:bookmarkEnd w:id="88"/>
    <w:bookmarkStart w:id="93" w:name="source-and-document-control"/>
    <w:p>
      <w:pPr>
        <w:pStyle w:val="Heading2"/>
      </w:pPr>
      <w:r>
        <w:t xml:space="preserve">Source and document control</w:t>
      </w:r>
    </w:p>
    <w:p>
      <w:pPr>
        <w:pStyle w:val="FirstParagraph"/>
      </w:pPr>
      <w:r>
        <w:t xml:space="preserve">This edition is authored from the immutable corresponding-source</w:t>
      </w:r>
      <w:r>
        <w:t xml:space="preserve"> </w:t>
      </w:r>
      <w:r>
        <w:t xml:space="preserve">companion, the generated installed-domain schema and the retained</w:t>
      </w:r>
      <w:r>
        <w:t xml:space="preserve"> </w:t>
      </w:r>
      <w:r>
        <w:t xml:space="preserve">workflow receipts. Component version numbers are retained. The private</w:t>
      </w:r>
      <w:r>
        <w:t xml:space="preserve"> </w:t>
      </w:r>
      <w:r>
        <w:t xml:space="preserve">MSI has its own new hash and signing receipt. Historical release tags</w:t>
      </w:r>
      <w:r>
        <w:t xml:space="preserve"> </w:t>
      </w:r>
      <w:r>
        <w:t xml:space="preserve">and their artifacts remain unchanged.</w:t>
      </w:r>
    </w:p>
    <w:p>
      <w:pPr>
        <w:pStyle w:val="Compact"/>
        <w:numPr>
          <w:ilvl w:val="0"/>
          <w:numId w:val="1008"/>
        </w:numPr>
      </w:pPr>
      <w:hyperlink r:id="rId89">
        <w:r>
          <w:rPr>
            <w:rStyle w:val="Hyperlink"/>
          </w:rPr>
          <w:t xml:space="preserve">Source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inventory and file hashes</w:t>
        </w:r>
      </w:hyperlink>
    </w:p>
    <w:p>
      <w:pPr>
        <w:pStyle w:val="Compact"/>
        <w:numPr>
          <w:ilvl w:val="0"/>
          <w:numId w:val="1008"/>
        </w:numPr>
      </w:pPr>
      <w:hyperlink r:id="rId49">
        <w:r>
          <w:rPr>
            <w:rStyle w:val="Hyperlink"/>
          </w:rPr>
          <w:t xml:space="preserve">All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component metadata</w:t>
        </w:r>
      </w:hyperlink>
    </w:p>
    <w:p>
      <w:pPr>
        <w:pStyle w:val="Compact"/>
        <w:numPr>
          <w:ilvl w:val="0"/>
          <w:numId w:val="1008"/>
        </w:numPr>
      </w:pPr>
      <w:hyperlink r:id="rId90">
        <w:r>
          <w:rPr>
            <w:rStyle w:val="Hyperlink"/>
          </w:rPr>
          <w:t xml:space="preserve">Installed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domain OpenAPI</w:t>
        </w:r>
      </w:hyperlink>
    </w:p>
    <w:p>
      <w:pPr>
        <w:pStyle w:val="Compact"/>
        <w:numPr>
          <w:ilvl w:val="0"/>
          <w:numId w:val="1008"/>
        </w:numPr>
      </w:pPr>
      <w:hyperlink r:id="rId91">
        <w:r>
          <w:rPr>
            <w:rStyle w:val="Hyperlink"/>
          </w:rPr>
          <w:t xml:space="preserve">Workflow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matrix</w:t>
        </w:r>
      </w:hyperlink>
    </w:p>
    <w:p>
      <w:pPr>
        <w:pStyle w:val="Compact"/>
        <w:numPr>
          <w:ilvl w:val="0"/>
          <w:numId w:val="1008"/>
        </w:numPr>
      </w:pPr>
      <w:hyperlink r:id="rId92">
        <w:r>
          <w:rPr>
            <w:rStyle w:val="Hyperlink"/>
          </w:rPr>
          <w:t xml:space="preserve">Full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AGPL text</w:t>
        </w:r>
      </w:hyperlink>
    </w:p>
    <w:bookmarkEnd w:id="93"/>
    <w:bookmarkStart w:id="98" w:name="station-live-and-recorded-delivery"/>
    <w:p>
      <w:pPr>
        <w:pStyle w:val="Heading2"/>
      </w:pPr>
      <w:r>
        <w:t xml:space="preserve">Station live and recorded</w:t>
      </w:r>
      <w:r>
        <w:t xml:space="preserve"> </w:t>
      </w:r>
      <w:r>
        <w:t xml:space="preserve">delivery</w:t>
      </w:r>
    </w:p>
    <w:p>
      <w:pPr>
        <w:pStyle w:val="FirstParagraph"/>
      </w:pPr>
      <w:r>
        <w:t xml:space="preserve">Station now offers two explicit delivery paths. During a live</w:t>
      </w:r>
      <w:r>
        <w:t xml:space="preserve"> </w:t>
      </w:r>
      <w:r>
        <w:t xml:space="preserve">recording, staff may select an administrator-configured encrypted SRT</w:t>
      </w:r>
      <w:r>
        <w:t xml:space="preserve"> </w:t>
      </w:r>
      <w:r>
        <w:t xml:space="preserve">feed to the separate CivicCast product. The PEG operator controls local</w:t>
      </w:r>
      <w:r>
        <w:t xml:space="preserve"> </w:t>
      </w:r>
      <w:r>
        <w:t xml:space="preserve">cable take-to-air. After completion, staff may approve an upload copy to</w:t>
      </w:r>
      <w:r>
        <w:t xml:space="preserve"> </w:t>
      </w:r>
      <w:r>
        <w:t xml:space="preserve">the Station-configured YouTube account, select its title and visibility,</w:t>
      </w:r>
      <w:r>
        <w:t xml:space="preserve"> </w:t>
      </w:r>
      <w:r>
        <w:t xml:space="preserve">and inspect the durable receipt. The private canonical recording and</w:t>
      </w:r>
      <w:r>
        <w:t xml:space="preserve"> </w:t>
      </w:r>
      <w:r>
        <w:t xml:space="preserve">existing Meetings → Station → Records handoff remain independent.</w:t>
      </w:r>
    </w:p>
    <w:p>
      <w:pPr>
        <w:pStyle w:val="BodyText"/>
      </w:pPr>
      <w:r>
        <w:drawing>
          <wp:inline>
            <wp:extent cx="5334000" cy="2611437"/>
            <wp:effectExtent b="0" l="0" r="0" t="0"/>
            <wp:docPr descr="Station live delivery and completed video uploads" title="" id="95" name="Picture"/>
            <a:graphic>
              <a:graphicData uri="http://schemas.openxmlformats.org/drawingml/2006/picture">
                <pic:pic>
                  <pic:nvPicPr>
                    <pic:cNvPr descr="C:/Users/scott/Documents/Codex/2026-11-02/rea/work/combined-candidate/repos/townlight.github.io/assets/word/station-delivery-architecture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14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These paths reuse the pinned CivicCast media and YouTube client code.</w:t>
      </w:r>
      <w:r>
        <w:t xml:space="preserve"> </w:t>
      </w:r>
      <w:r>
        <w:t xml:space="preserve">A separate sender isolates network backpressure from capture, and a</w:t>
      </w:r>
      <w:r>
        <w:t xml:space="preserve"> </w:t>
      </w:r>
      <w:r>
        <w:t xml:space="preserve">separate upload worker prevents long uploads from blocking recording.</w:t>
      </w:r>
      <w:r>
        <w:t xml:space="preserve"> </w:t>
      </w:r>
      <w:r>
        <w:t xml:space="preserve">YouTube starts no live broadcast here. Standalone CivicCast has separate</w:t>
      </w:r>
      <w:r>
        <w:t xml:space="preserve"> </w:t>
      </w:r>
      <w:r>
        <w:t xml:space="preserve">installation, identity, storage and operator control.</w:t>
      </w:r>
    </w:p>
    <w:p>
      <w:pPr>
        <w:pStyle w:val="BodyText"/>
      </w:pPr>
      <w:r>
        <w:t xml:space="preserve">Administrators run the explicit Station schema4 migration and</w:t>
      </w:r>
      <w:r>
        <w:t xml:space="preserve"> </w:t>
      </w:r>
      <w:r>
        <w:t xml:space="preserve">provision Station-only OAuth and SRT pairing credentials. Existing</w:t>
      </w:r>
      <w:r>
        <w:t xml:space="preserve"> </w:t>
      </w:r>
      <w:r>
        <w:t xml:space="preserve">component versions are retained. Preparation failures can be explicitly</w:t>
      </w:r>
      <w:r>
        <w:t xml:space="preserve"> </w:t>
      </w:r>
      <w:r>
        <w:t xml:space="preserve">retried; uncertain external uploads require manual reconciliation and</w:t>
      </w:r>
      <w:r>
        <w:t xml:space="preserve"> </w:t>
      </w:r>
      <w:r>
        <w:t xml:space="preserve">are never silently duplicated. No real credentials or external video</w:t>
      </w:r>
      <w:r>
        <w:t xml:space="preserve"> </w:t>
      </w:r>
      <w:r>
        <w:t xml:space="preserve">publication are used in synthetic development acceptance.</w:t>
      </w:r>
    </w:p>
    <w:p>
      <w:pPr>
        <w:pStyle w:val="BodyText"/>
      </w:pPr>
      <w:r>
        <w:t xml:space="preserve">See</w:t>
      </w:r>
      <w:r>
        <w:t xml:space="preserve"> </w:t>
      </w:r>
      <w:hyperlink r:id="rId97">
        <w:r>
          <w:rPr>
            <w:rStyle w:val="Hyperlink"/>
          </w:rPr>
          <w:t xml:space="preserve">the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Station manual delivery section</w:t>
        </w:r>
      </w:hyperlink>
      <w:r>
        <w:t xml:space="preserve"> </w:t>
      </w:r>
      <w:r>
        <w:t xml:space="preserve">for full staff steps, architecture,</w:t>
      </w:r>
      <w:r>
        <w:t xml:space="preserve"> </w:t>
      </w:r>
      <w:r>
        <w:t xml:space="preserve">configuration, API request examples, permissions and recovery. Existing</w:t>
      </w:r>
      <w:r>
        <w:t xml:space="preserve"> </w:t>
      </w:r>
      <w:r>
        <w:t xml:space="preserve">eight-product workflows are unchanged; their accepted evidence is</w:t>
      </w:r>
      <w:r>
        <w:t xml:space="preserve"> </w:t>
      </w:r>
      <w:r>
        <w:t xml:space="preserve">retained rather than presented as a new run.</w:t>
      </w:r>
    </w:p>
    <w:bookmarkEnd w:id="98"/>
    <w:bookmarkStart w:id="100" w:name="delivery-subject-index"/>
    <w:p>
      <w:pPr>
        <w:pStyle w:val="Heading2"/>
      </w:pPr>
      <w:r>
        <w:t xml:space="preserve">Delivery subject index</w:t>
      </w:r>
    </w:p>
    <w:p>
      <w:pPr>
        <w:pStyle w:val="Compact"/>
        <w:numPr>
          <w:ilvl w:val="0"/>
          <w:numId w:val="1009"/>
        </w:numPr>
      </w:pPr>
      <w:hyperlink r:id="rId97">
        <w:r>
          <w:rPr>
            <w:rStyle w:val="Hyperlink"/>
          </w:rPr>
          <w:t xml:space="preserve">CivicCast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live feed</w:t>
        </w:r>
      </w:hyperlink>
    </w:p>
    <w:p>
      <w:pPr>
        <w:pStyle w:val="Compact"/>
        <w:numPr>
          <w:ilvl w:val="0"/>
          <w:numId w:val="1009"/>
        </w:numPr>
      </w:pPr>
      <w:r>
        <w:t xml:space="preserve">YouTube: explicit completed recording upload; visibility; receipt</w:t>
      </w:r>
      <w:r>
        <w:t xml:space="preserve"> </w:t>
      </w:r>
      <w:r>
        <w:t xml:space="preserve">and reconciliation.</w:t>
      </w:r>
    </w:p>
    <w:p>
      <w:pPr>
        <w:pStyle w:val="Compact"/>
        <w:numPr>
          <w:ilvl w:val="0"/>
          <w:numId w:val="1009"/>
        </w:numPr>
      </w:pPr>
      <w:r>
        <w:t xml:space="preserve">Schema4: durable upload intent; existing evidence retained.</w:t>
      </w:r>
    </w:p>
    <w:p>
      <w:pPr>
        <w:pStyle w:val="FirstParagraph"/>
      </w:pPr>
      <w:r>
        <w:t xml:space="preserve">The resident portal is deployed separately. See the</w:t>
      </w:r>
      <w:r>
        <w:t xml:space="preserve"> </w:t>
      </w:r>
      <w:hyperlink r:id="rId99">
        <w:r>
          <w:rPr>
            <w:rStyle w:val="Hyperlink"/>
          </w:rPr>
          <w:t xml:space="preserve">Townlight Portal Guide</w:t>
        </w:r>
      </w:hyperlink>
      <w:r>
        <w:t xml:space="preserve"> </w:t>
      </w:r>
      <w:r>
        <w:t xml:space="preserve">for its workflow and acceptance limits.</w:t>
      </w:r>
    </w:p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4" Target="media/rId94.png" /><Relationship Type="http://schemas.openxmlformats.org/officeDocument/2006/relationships/image" Id="rId32" Target="media/rId32.png" /><Relationship Type="http://schemas.openxmlformats.org/officeDocument/2006/relationships/hyperlink" Id="rId10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62" Target="https://townlight.github.io/api/suite-openapi.json" TargetMode="External" /><Relationship Type="http://schemas.openxmlformats.org/officeDocument/2006/relationships/hyperlink" Id="rId61" Target="https://townlight.github.io/api/suite.html" TargetMode="External" /><Relationship Type="http://schemas.openxmlformats.org/officeDocument/2006/relationships/hyperlink" Id="rId24" Target="https://townlight.github.io/manuals/code.html" TargetMode="External" /><Relationship Type="http://schemas.openxmlformats.org/officeDocument/2006/relationships/hyperlink" Id="rId39" Target="https://townlight.github.io/manuals/code.html#cited-questions-summaries-and-local-synchronization" TargetMode="External" /><Relationship Type="http://schemas.openxmlformats.org/officeDocument/2006/relationships/hyperlink" Id="rId21" Target="https://townlight.github.io/manuals/core.html" TargetMode="External" /><Relationship Type="http://schemas.openxmlformats.org/officeDocument/2006/relationships/hyperlink" Id="rId36" Target="https://townlight.github.io/manuals/core.html#shared-catalog-rules-and-scaffolding" TargetMode="External" /><Relationship Type="http://schemas.openxmlformats.org/officeDocument/2006/relationships/hyperlink" Id="rId28" Target="https://townlight.github.io/manuals/inspections.html" TargetMode="External" /><Relationship Type="http://schemas.openxmlformats.org/officeDocument/2006/relationships/hyperlink" Id="rId43" Target="https://townlight.github.io/manuals/inspections.html#evidence-limits-outlines-and-previous-cases" TargetMode="External" /><Relationship Type="http://schemas.openxmlformats.org/officeDocument/2006/relationships/hyperlink" Id="rId23" Target="https://townlight.github.io/manuals/meetings.html" TargetMode="External" /><Relationship Type="http://schemas.openxmlformats.org/officeDocument/2006/relationships/hyperlink" Id="rId38" Target="https://townlight.github.io/manuals/meetings.html#transcript-corrections-and-action-items" TargetMode="External" /><Relationship Type="http://schemas.openxmlformats.org/officeDocument/2006/relationships/hyperlink" Id="rId27" Target="https://townlight.github.io/manuals/permitting.html" TargetMode="External" /><Relationship Type="http://schemas.openxmlformats.org/officeDocument/2006/relationships/hyperlink" Id="rId42" Target="https://townlight.github.io/manuals/permitting.html#describe-a-project-and-read-source-grounded-guidance" TargetMode="External" /><Relationship Type="http://schemas.openxmlformats.org/officeDocument/2006/relationships/hyperlink" Id="rId26" Target="https://townlight.github.io/manuals/planning.html" TargetMode="External" /><Relationship Type="http://schemas.openxmlformats.org/officeDocument/2006/relationships/hyperlink" Id="rId41" Target="https://townlight.github.io/manuals/planning.html#exploration-initiatives-and-amendments" TargetMode="External" /><Relationship Type="http://schemas.openxmlformats.org/officeDocument/2006/relationships/hyperlink" Id="rId99" Target="https://townlight.github.io/manuals/portal.html" TargetMode="External" /><Relationship Type="http://schemas.openxmlformats.org/officeDocument/2006/relationships/hyperlink" Id="rId22" Target="https://townlight.github.io/manuals/records.html" TargetMode="External" /><Relationship Type="http://schemas.openxmlformats.org/officeDocument/2006/relationships/hyperlink" Id="rId37" Target="https://townlight.github.io/manuals/records.html#fees-messages-notifications-and-local-intake" TargetMode="External" /><Relationship Type="http://schemas.openxmlformats.org/officeDocument/2006/relationships/hyperlink" Id="rId29" Target="https://townlight.github.io/manuals/station.html" TargetMode="External" /><Relationship Type="http://schemas.openxmlformats.org/officeDocument/2006/relationships/hyperlink" Id="rId97" Target="https://townlight.github.io/manuals/station.html#completed-recordings-on-youtube-and-live-civiccast-coverage" TargetMode="External" /><Relationship Type="http://schemas.openxmlformats.org/officeDocument/2006/relationships/hyperlink" Id="rId44" Target="https://townlight.github.io/manuals/station.html#scheduling-playout-and-recovery" TargetMode="External" /><Relationship Type="http://schemas.openxmlformats.org/officeDocument/2006/relationships/hyperlink" Id="rId25" Target="https://townlight.github.io/manuals/zoning.html" TargetMode="External" /><Relationship Type="http://schemas.openxmlformats.org/officeDocument/2006/relationships/hyperlink" Id="rId40" Target="https://townlight.github.io/manuals/zoning.html#discretionary-processes-and-staff-review" TargetMode="External" /><Relationship Type="http://schemas.openxmlformats.org/officeDocument/2006/relationships/hyperlink" Id="rId92" Target="https://townlight.github.io/reference/AGPL-3.0.txt" TargetMode="External" /><Relationship Type="http://schemas.openxmlformats.org/officeDocument/2006/relationships/hyperlink" Id="rId49" Target="https://townlight.github.io/reference/component-metadata.json" TargetMode="External" /><Relationship Type="http://schemas.openxmlformats.org/officeDocument/2006/relationships/hyperlink" Id="rId90" Target="https://townlight.github.io/reference/desktop-domain-openapi.json" TargetMode="External" /><Relationship Type="http://schemas.openxmlformats.org/officeDocument/2006/relationships/hyperlink" Id="rId63" Target="https://townlight.github.io/reference/index.html" TargetMode="External" /><Relationship Type="http://schemas.openxmlformats.org/officeDocument/2006/relationships/hyperlink" Id="rId67" Target="https://townlight.github.io/reference/mcp.html" TargetMode="External" /><Relationship Type="http://schemas.openxmlformats.org/officeDocument/2006/relationships/hyperlink" Id="rId48" Target="https://townlight.github.io/reference/runtime-payload-lock.json" TargetMode="External" /><Relationship Type="http://schemas.openxmlformats.org/officeDocument/2006/relationships/hyperlink" Id="rId72" Target="https://townlight.github.io/reference/sandbox-evidence-index.json" TargetMode="External" /><Relationship Type="http://schemas.openxmlformats.org/officeDocument/2006/relationships/hyperlink" Id="rId89" Target="https://townlight.github.io/reference/source-inventory.json" TargetMode="External" /><Relationship Type="http://schemas.openxmlformats.org/officeDocument/2006/relationships/hyperlink" Id="rId91" Target="https://townlight.github.io/reference/workflow-matrix.json" TargetMode="External" /><Relationship Type="http://schemas.openxmlformats.org/officeDocument/2006/relationships/hyperlink" Id="rId75" Target="https://www.gnu.org/licenses/agpl-3.0.html" TargetMode="External" /><Relationship Type="http://schemas.openxmlformats.org/officeDocument/2006/relationships/hyperlink" Id="rId76" Target="https://www.gnu.org/licenses/gpl-faq.e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62" Target="https://townlight.github.io/api/suite-openapi.json" TargetMode="External" /><Relationship Type="http://schemas.openxmlformats.org/officeDocument/2006/relationships/hyperlink" Id="rId61" Target="https://townlight.github.io/api/suite.html" TargetMode="External" /><Relationship Type="http://schemas.openxmlformats.org/officeDocument/2006/relationships/hyperlink" Id="rId24" Target="https://townlight.github.io/manuals/code.html" TargetMode="External" /><Relationship Type="http://schemas.openxmlformats.org/officeDocument/2006/relationships/hyperlink" Id="rId39" Target="https://townlight.github.io/manuals/code.html#cited-questions-summaries-and-local-synchronization" TargetMode="External" /><Relationship Type="http://schemas.openxmlformats.org/officeDocument/2006/relationships/hyperlink" Id="rId21" Target="https://townlight.github.io/manuals/core.html" TargetMode="External" /><Relationship Type="http://schemas.openxmlformats.org/officeDocument/2006/relationships/hyperlink" Id="rId36" Target="https://townlight.github.io/manuals/core.html#shared-catalog-rules-and-scaffolding" TargetMode="External" /><Relationship Type="http://schemas.openxmlformats.org/officeDocument/2006/relationships/hyperlink" Id="rId28" Target="https://townlight.github.io/manuals/inspections.html" TargetMode="External" /><Relationship Type="http://schemas.openxmlformats.org/officeDocument/2006/relationships/hyperlink" Id="rId43" Target="https://townlight.github.io/manuals/inspections.html#evidence-limits-outlines-and-previous-cases" TargetMode="External" /><Relationship Type="http://schemas.openxmlformats.org/officeDocument/2006/relationships/hyperlink" Id="rId23" Target="https://townlight.github.io/manuals/meetings.html" TargetMode="External" /><Relationship Type="http://schemas.openxmlformats.org/officeDocument/2006/relationships/hyperlink" Id="rId38" Target="https://townlight.github.io/manuals/meetings.html#transcript-corrections-and-action-items" TargetMode="External" /><Relationship Type="http://schemas.openxmlformats.org/officeDocument/2006/relationships/hyperlink" Id="rId27" Target="https://townlight.github.io/manuals/permitting.html" TargetMode="External" /><Relationship Type="http://schemas.openxmlformats.org/officeDocument/2006/relationships/hyperlink" Id="rId42" Target="https://townlight.github.io/manuals/permitting.html#describe-a-project-and-read-source-grounded-guidance" TargetMode="External" /><Relationship Type="http://schemas.openxmlformats.org/officeDocument/2006/relationships/hyperlink" Id="rId26" Target="https://townlight.github.io/manuals/planning.html" TargetMode="External" /><Relationship Type="http://schemas.openxmlformats.org/officeDocument/2006/relationships/hyperlink" Id="rId41" Target="https://townlight.github.io/manuals/planning.html#exploration-initiatives-and-amendments" TargetMode="External" /><Relationship Type="http://schemas.openxmlformats.org/officeDocument/2006/relationships/hyperlink" Id="rId99" Target="https://townlight.github.io/manuals/portal.html" TargetMode="External" /><Relationship Type="http://schemas.openxmlformats.org/officeDocument/2006/relationships/hyperlink" Id="rId22" Target="https://townlight.github.io/manuals/records.html" TargetMode="External" /><Relationship Type="http://schemas.openxmlformats.org/officeDocument/2006/relationships/hyperlink" Id="rId37" Target="https://townlight.github.io/manuals/records.html#fees-messages-notifications-and-local-intake" TargetMode="External" /><Relationship Type="http://schemas.openxmlformats.org/officeDocument/2006/relationships/hyperlink" Id="rId29" Target="https://townlight.github.io/manuals/station.html" TargetMode="External" /><Relationship Type="http://schemas.openxmlformats.org/officeDocument/2006/relationships/hyperlink" Id="rId97" Target="https://townlight.github.io/manuals/station.html#completed-recordings-on-youtube-and-live-civiccast-coverage" TargetMode="External" /><Relationship Type="http://schemas.openxmlformats.org/officeDocument/2006/relationships/hyperlink" Id="rId44" Target="https://townlight.github.io/manuals/station.html#scheduling-playout-and-recovery" TargetMode="External" /><Relationship Type="http://schemas.openxmlformats.org/officeDocument/2006/relationships/hyperlink" Id="rId25" Target="https://townlight.github.io/manuals/zoning.html" TargetMode="External" /><Relationship Type="http://schemas.openxmlformats.org/officeDocument/2006/relationships/hyperlink" Id="rId40" Target="https://townlight.github.io/manuals/zoning.html#discretionary-processes-and-staff-review" TargetMode="External" /><Relationship Type="http://schemas.openxmlformats.org/officeDocument/2006/relationships/hyperlink" Id="rId92" Target="https://townlight.github.io/reference/AGPL-3.0.txt" TargetMode="External" /><Relationship Type="http://schemas.openxmlformats.org/officeDocument/2006/relationships/hyperlink" Id="rId49" Target="https://townlight.github.io/reference/component-metadata.json" TargetMode="External" /><Relationship Type="http://schemas.openxmlformats.org/officeDocument/2006/relationships/hyperlink" Id="rId90" Target="https://townlight.github.io/reference/desktop-domain-openapi.json" TargetMode="External" /><Relationship Type="http://schemas.openxmlformats.org/officeDocument/2006/relationships/hyperlink" Id="rId63" Target="https://townlight.github.io/reference/index.html" TargetMode="External" /><Relationship Type="http://schemas.openxmlformats.org/officeDocument/2006/relationships/hyperlink" Id="rId67" Target="https://townlight.github.io/reference/mcp.html" TargetMode="External" /><Relationship Type="http://schemas.openxmlformats.org/officeDocument/2006/relationships/hyperlink" Id="rId48" Target="https://townlight.github.io/reference/runtime-payload-lock.json" TargetMode="External" /><Relationship Type="http://schemas.openxmlformats.org/officeDocument/2006/relationships/hyperlink" Id="rId72" Target="https://townlight.github.io/reference/sandbox-evidence-index.json" TargetMode="External" /><Relationship Type="http://schemas.openxmlformats.org/officeDocument/2006/relationships/hyperlink" Id="rId89" Target="https://townlight.github.io/reference/source-inventory.json" TargetMode="External" /><Relationship Type="http://schemas.openxmlformats.org/officeDocument/2006/relationships/hyperlink" Id="rId91" Target="https://townlight.github.io/reference/workflow-matrix.json" TargetMode="External" /><Relationship Type="http://schemas.openxmlformats.org/officeDocument/2006/relationships/hyperlink" Id="rId75" Target="https://www.gnu.org/licenses/agpl-3.0.html" TargetMode="External" /><Relationship Type="http://schemas.openxmlformats.org/officeDocument/2006/relationships/hyperlink" Id="rId76" Target="https://www.gnu.org/licenses/gpl-faq.e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Townlight Suite Manual</dc:title>
  <dc:creator/>
  <cp:keywords/>
  <dcterms:created xsi:type="dcterms:W3CDTF">2026-11-04T06:03:20Z</dcterms:created>
  <dcterms:modified xsi:type="dcterms:W3CDTF">2026-11-04T06:03:20Z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