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Townlight Records Manual</w:t>
      </w:r>
    </w:p>
    <w:p>
      <w:pPr>
        <w:pStyle w:val="FirstParagraph"/>
      </w:pPr>
      <w:r>
        <w:t xml:space="preserve">Windows x64 Beta 1 · MSI 1.7.0.1</w:t>
      </w:r>
    </w:p>
    <w:p>
      <w:pPr>
        <w:pStyle w:val="BodyText"/>
      </w:pPr>
      <w:r>
        <w:t xml:space="preserve">The signed</w:t>
      </w:r>
      <w:r>
        <w:t xml:space="preserve"> </w:t>
      </w:r>
      <w:hyperlink r:id="rId9">
        <w:r>
          <w:rPr>
            <w:rStyle w:val="Hyperlink"/>
          </w:rPr>
          <w:t xml:space="preserve">Windows x64 beta 1.7.0.1</w:t>
        </w:r>
      </w:hyperlink>
      <w:r>
        <w:t xml:space="preserve"> </w:t>
      </w:r>
      <w:r>
        <w:t xml:space="preserve">passed the documented fresh Windows Sandbox checks with synthetic data.</w:t>
      </w:r>
    </w:p>
    <w:p>
      <w:pPr>
        <w:pStyle w:val="Compact"/>
        <w:numPr>
          <w:ilvl w:val="0"/>
          <w:numId w:val="1001"/>
        </w:numPr>
      </w:pPr>
      <w:hyperlink w:anchor="townlight-records-manual">
        <w:r>
          <w:rPr>
            <w:rStyle w:val="Hyperlink"/>
          </w:rPr>
          <w:t xml:space="preserve">Townlight Records Manual</w:t>
        </w:r>
      </w:hyperlink>
    </w:p>
    <w:p>
      <w:pPr>
        <w:pStyle w:val="Compact"/>
        <w:numPr>
          <w:ilvl w:val="1"/>
          <w:numId w:val="1002"/>
        </w:numPr>
      </w:pPr>
      <w:hyperlink w:anchor="contents">
        <w:r>
          <w:rPr>
            <w:rStyle w:val="Hyperlink"/>
          </w:rPr>
          <w:t xml:space="preserve">Contents</w:t>
        </w:r>
      </w:hyperlink>
    </w:p>
    <w:p>
      <w:pPr>
        <w:pStyle w:val="Compact"/>
        <w:numPr>
          <w:ilvl w:val="1"/>
          <w:numId w:val="1002"/>
        </w:numPr>
      </w:pPr>
      <w:hyperlink w:anchor="using-this-manual">
        <w:r>
          <w:rPr>
            <w:rStyle w:val="Hyperlink"/>
          </w:rPr>
          <w:t xml:space="preserve">Using this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manual</w:t>
        </w:r>
      </w:hyperlink>
    </w:p>
    <w:p>
      <w:pPr>
        <w:pStyle w:val="Compact"/>
        <w:numPr>
          <w:ilvl w:val="1"/>
          <w:numId w:val="1002"/>
        </w:numPr>
      </w:pPr>
      <w:hyperlink w:anchor="beta-identity">
        <w:r>
          <w:rPr>
            <w:rStyle w:val="Hyperlink"/>
          </w:rPr>
          <w:t xml:space="preserve">Beta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identity</w:t>
        </w:r>
      </w:hyperlink>
    </w:p>
    <w:p>
      <w:pPr>
        <w:pStyle w:val="Compact"/>
        <w:numPr>
          <w:ilvl w:val="1"/>
          <w:numId w:val="1002"/>
        </w:numPr>
      </w:pPr>
      <w:hyperlink w:anchor="first-run">
        <w:r>
          <w:rPr>
            <w:rStyle w:val="Hyperlink"/>
          </w:rPr>
          <w:t xml:space="preserve">First run</w:t>
        </w:r>
      </w:hyperlink>
    </w:p>
    <w:p>
      <w:pPr>
        <w:pStyle w:val="Compact"/>
        <w:numPr>
          <w:ilvl w:val="1"/>
          <w:numId w:val="1002"/>
        </w:numPr>
      </w:pPr>
      <w:hyperlink w:anchor="daily-workflow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</w:t>
        </w:r>
      </w:hyperlink>
    </w:p>
    <w:p>
      <w:pPr>
        <w:pStyle w:val="Compact"/>
        <w:numPr>
          <w:ilvl w:val="1"/>
          <w:numId w:val="1002"/>
        </w:numPr>
      </w:pPr>
      <w:hyperlink w:anchor="connected-workflows">
        <w:r>
          <w:rPr>
            <w:rStyle w:val="Hyperlink"/>
          </w:rPr>
          <w:t xml:space="preserve">Connected workflows</w:t>
        </w:r>
      </w:hyperlink>
    </w:p>
    <w:p>
      <w:pPr>
        <w:pStyle w:val="Compact"/>
        <w:numPr>
          <w:ilvl w:val="1"/>
          <w:numId w:val="1002"/>
        </w:numPr>
      </w:pPr>
      <w:hyperlink w:anchor="architecture">
        <w:r>
          <w:rPr>
            <w:rStyle w:val="Hyperlink"/>
          </w:rPr>
          <w:t xml:space="preserve">Architecture</w:t>
        </w:r>
      </w:hyperlink>
    </w:p>
    <w:p>
      <w:pPr>
        <w:pStyle w:val="Compact"/>
        <w:numPr>
          <w:ilvl w:val="1"/>
          <w:numId w:val="1002"/>
        </w:numPr>
      </w:pPr>
      <w:hyperlink w:anchor="X76b967ecaf2ea2beb74ae290cac52c3299e8aac">
        <w:r>
          <w:rPr>
            <w:rStyle w:val="Hyperlink"/>
          </w:rPr>
          <w:t xml:space="preserve">Fees messages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notifications and local intake</w:t>
        </w:r>
      </w:hyperlink>
    </w:p>
    <w:p>
      <w:pPr>
        <w:pStyle w:val="Compact"/>
        <w:numPr>
          <w:ilvl w:val="1"/>
          <w:numId w:val="1002"/>
        </w:numPr>
      </w:pPr>
      <w:hyperlink w:anchor="technical-specifications">
        <w:r>
          <w:rPr>
            <w:rStyle w:val="Hyperlink"/>
          </w:rPr>
          <w:t xml:space="preserve">Technical specifications</w:t>
        </w:r>
      </w:hyperlink>
    </w:p>
    <w:p>
      <w:pPr>
        <w:pStyle w:val="Compact"/>
        <w:numPr>
          <w:ilvl w:val="1"/>
          <w:numId w:val="1002"/>
        </w:numPr>
      </w:pPr>
      <w:hyperlink w:anchor="configuration-and-administration">
        <w:r>
          <w:rPr>
            <w:rStyle w:val="Hyperlink"/>
          </w:rPr>
          <w:t xml:space="preserve">Configuration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administration</w:t>
        </w:r>
      </w:hyperlink>
    </w:p>
    <w:p>
      <w:pPr>
        <w:pStyle w:val="Compact"/>
        <w:numPr>
          <w:ilvl w:val="1"/>
          <w:numId w:val="1002"/>
        </w:numPr>
      </w:pPr>
      <w:hyperlink w:anchor="api-and-integration-examples">
        <w:r>
          <w:rPr>
            <w:rStyle w:val="Hyperlink"/>
          </w:rPr>
          <w:t xml:space="preserve">API and integration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examples</w:t>
        </w:r>
      </w:hyperlink>
    </w:p>
    <w:p>
      <w:pPr>
        <w:pStyle w:val="Compact"/>
        <w:numPr>
          <w:ilvl w:val="1"/>
          <w:numId w:val="1002"/>
        </w:numPr>
      </w:pPr>
      <w:hyperlink w:anchor="mcp-and-automation-boundary">
        <w:r>
          <w:rPr>
            <w:rStyle w:val="Hyperlink"/>
          </w:rPr>
          <w:t xml:space="preserve">MCP and automation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boundary</w:t>
        </w:r>
      </w:hyperlink>
    </w:p>
    <w:p>
      <w:pPr>
        <w:pStyle w:val="Compact"/>
        <w:numPr>
          <w:ilvl w:val="1"/>
          <w:numId w:val="1002"/>
        </w:numPr>
      </w:pPr>
      <w:hyperlink w:anchor="security-and-permissions">
        <w:r>
          <w:rPr>
            <w:rStyle w:val="Hyperlink"/>
          </w:rPr>
          <w:t xml:space="preserve">Security and permissions</w:t>
        </w:r>
      </w:hyperlink>
    </w:p>
    <w:p>
      <w:pPr>
        <w:pStyle w:val="Compact"/>
        <w:numPr>
          <w:ilvl w:val="1"/>
          <w:numId w:val="1002"/>
        </w:numPr>
      </w:pPr>
      <w:hyperlink w:anchor="backup-recovery-and-maintenance">
        <w:r>
          <w:rPr>
            <w:rStyle w:val="Hyperlink"/>
          </w:rPr>
          <w:t xml:space="preserve">Backup recovery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maintenance</w:t>
        </w:r>
      </w:hyperlink>
    </w:p>
    <w:p>
      <w:pPr>
        <w:pStyle w:val="Compact"/>
        <w:numPr>
          <w:ilvl w:val="1"/>
          <w:numId w:val="1002"/>
        </w:numPr>
      </w:pPr>
      <w:hyperlink w:anchor="troubleshooting">
        <w:r>
          <w:rPr>
            <w:rStyle w:val="Hyperlink"/>
          </w:rPr>
          <w:t xml:space="preserve">Troubleshooting</w:t>
        </w:r>
      </w:hyperlink>
    </w:p>
    <w:p>
      <w:pPr>
        <w:pStyle w:val="Compact"/>
        <w:numPr>
          <w:ilvl w:val="1"/>
          <w:numId w:val="1002"/>
        </w:numPr>
      </w:pPr>
      <w:hyperlink w:anchor="verified-workflows-and-limits">
        <w:r>
          <w:rPr>
            <w:rStyle w:val="Hyperlink"/>
          </w:rPr>
          <w:t xml:space="preserve">Verified workflows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limits</w:t>
        </w:r>
      </w:hyperlink>
    </w:p>
    <w:p>
      <w:pPr>
        <w:pStyle w:val="Compact"/>
        <w:numPr>
          <w:ilvl w:val="1"/>
          <w:numId w:val="1002"/>
        </w:numPr>
      </w:pPr>
      <w:hyperlink w:anchor="terms-of-service-and-license">
        <w:r>
          <w:rPr>
            <w:rStyle w:val="Hyperlink"/>
          </w:rPr>
          <w:t xml:space="preserve">Terms of service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license</w:t>
        </w:r>
      </w:hyperlink>
    </w:p>
    <w:p>
      <w:pPr>
        <w:pStyle w:val="Compact"/>
        <w:numPr>
          <w:ilvl w:val="1"/>
          <w:numId w:val="1002"/>
        </w:numPr>
      </w:pPr>
      <w:hyperlink w:anchor="glossary">
        <w:r>
          <w:rPr>
            <w:rStyle w:val="Hyperlink"/>
          </w:rPr>
          <w:t xml:space="preserve">Glossary</w:t>
        </w:r>
      </w:hyperlink>
    </w:p>
    <w:p>
      <w:pPr>
        <w:pStyle w:val="Compact"/>
        <w:numPr>
          <w:ilvl w:val="1"/>
          <w:numId w:val="1002"/>
        </w:numPr>
      </w:pPr>
      <w:hyperlink w:anchor="alphabetical-subject-index">
        <w:r>
          <w:rPr>
            <w:rStyle w:val="Hyperlink"/>
          </w:rPr>
          <w:t xml:space="preserve">Alphabetical subject index</w:t>
        </w:r>
      </w:hyperlink>
    </w:p>
    <w:p>
      <w:pPr>
        <w:pStyle w:val="Compact"/>
        <w:numPr>
          <w:ilvl w:val="1"/>
          <w:numId w:val="1002"/>
        </w:numPr>
      </w:pPr>
      <w:hyperlink w:anchor="source-and-document-control">
        <w:r>
          <w:rPr>
            <w:rStyle w:val="Hyperlink"/>
          </w:rPr>
          <w:t xml:space="preserve">Source and document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control</w:t>
        </w:r>
      </w:hyperlink>
    </w:p>
    <w:bookmarkStart w:id="96" w:name="townlight-records-manual"/>
    <w:p>
      <w:pPr>
        <w:pStyle w:val="Heading1"/>
      </w:pPr>
      <w:r>
        <w:t xml:space="preserve">Townlight Records Manual</w:t>
      </w:r>
    </w:p>
    <w:p>
      <w:pPr>
        <w:pStyle w:val="FirstParagraph"/>
      </w:pPr>
      <w:r>
        <w:rPr>
          <w:b/>
          <w:bCs/>
        </w:rPr>
        <w:t xml:space="preserve">Townlight Beta 1</w:t>
      </w:r>
      <w:r>
        <w:t xml:space="preserve"> </w:t>
      </w:r>
      <w:r>
        <w:t xml:space="preserve">· Naming candidate documentation</w:t>
      </w:r>
      <w:r>
        <w:t xml:space="preserve"> </w:t>
      </w:r>
      <w:r>
        <w:t xml:space="preserve">edition 2 November 2026</w:t>
      </w:r>
    </w:p>
    <w:bookmarkStart w:id="10" w:name="contents"/>
    <w:p>
      <w:pPr>
        <w:pStyle w:val="Heading2"/>
      </w:pPr>
      <w:r>
        <w:t xml:space="preserve">Contents</w:t>
      </w:r>
    </w:p>
    <w:p>
      <w:pPr>
        <w:pStyle w:val="Compact"/>
        <w:numPr>
          <w:ilvl w:val="0"/>
          <w:numId w:val="1003"/>
        </w:numPr>
      </w:pPr>
      <w:hyperlink w:anchor="using-this-manual">
        <w:r>
          <w:rPr>
            <w:rStyle w:val="Hyperlink"/>
          </w:rPr>
          <w:t xml:space="preserve">Using this manual</w:t>
        </w:r>
      </w:hyperlink>
    </w:p>
    <w:p>
      <w:pPr>
        <w:pStyle w:val="Compact"/>
        <w:numPr>
          <w:ilvl w:val="0"/>
          <w:numId w:val="1003"/>
        </w:numPr>
      </w:pPr>
      <w:hyperlink w:anchor="beta-identity">
        <w:r>
          <w:rPr>
            <w:rStyle w:val="Hyperlink"/>
          </w:rPr>
          <w:t xml:space="preserve">Beta identity</w:t>
        </w:r>
      </w:hyperlink>
    </w:p>
    <w:p>
      <w:pPr>
        <w:pStyle w:val="Compact"/>
        <w:numPr>
          <w:ilvl w:val="0"/>
          <w:numId w:val="1003"/>
        </w:numPr>
      </w:pPr>
      <w:hyperlink w:anchor="first-run">
        <w:r>
          <w:rPr>
            <w:rStyle w:val="Hyperlink"/>
          </w:rPr>
          <w:t xml:space="preserve">First run</w:t>
        </w:r>
      </w:hyperlink>
    </w:p>
    <w:p>
      <w:pPr>
        <w:pStyle w:val="Compact"/>
        <w:numPr>
          <w:ilvl w:val="0"/>
          <w:numId w:val="1003"/>
        </w:numPr>
      </w:pPr>
      <w:hyperlink w:anchor="daily-workflow">
        <w:r>
          <w:rPr>
            <w:rStyle w:val="Hyperlink"/>
          </w:rPr>
          <w:t xml:space="preserve">Daily workflow</w:t>
        </w:r>
      </w:hyperlink>
    </w:p>
    <w:p>
      <w:pPr>
        <w:pStyle w:val="Compact"/>
        <w:numPr>
          <w:ilvl w:val="0"/>
          <w:numId w:val="1003"/>
        </w:numPr>
      </w:pPr>
      <w:hyperlink w:anchor="connected-workflows">
        <w:r>
          <w:rPr>
            <w:rStyle w:val="Hyperlink"/>
          </w:rPr>
          <w:t xml:space="preserve">Connected workflows</w:t>
        </w:r>
      </w:hyperlink>
    </w:p>
    <w:p>
      <w:pPr>
        <w:pStyle w:val="Compact"/>
        <w:numPr>
          <w:ilvl w:val="0"/>
          <w:numId w:val="1003"/>
        </w:numPr>
      </w:pPr>
      <w:hyperlink w:anchor="architecture">
        <w:r>
          <w:rPr>
            <w:rStyle w:val="Hyperlink"/>
          </w:rPr>
          <w:t xml:space="preserve">Architecture</w:t>
        </w:r>
      </w:hyperlink>
    </w:p>
    <w:p>
      <w:pPr>
        <w:pStyle w:val="Compact"/>
        <w:numPr>
          <w:ilvl w:val="0"/>
          <w:numId w:val="1003"/>
        </w:numPr>
      </w:pPr>
      <w:hyperlink w:anchor="X76b967ecaf2ea2beb74ae290cac52c3299e8aac">
        <w:r>
          <w:rPr>
            <w:rStyle w:val="Hyperlink"/>
          </w:rPr>
          <w:t xml:space="preserve">Fees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messages notifications and local intake</w:t>
        </w:r>
      </w:hyperlink>
    </w:p>
    <w:p>
      <w:pPr>
        <w:pStyle w:val="Compact"/>
        <w:numPr>
          <w:ilvl w:val="0"/>
          <w:numId w:val="1003"/>
        </w:numPr>
      </w:pPr>
      <w:hyperlink w:anchor="technical-specifications">
        <w:r>
          <w:rPr>
            <w:rStyle w:val="Hyperlink"/>
          </w:rPr>
          <w:t xml:space="preserve">Technical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specifications</w:t>
        </w:r>
      </w:hyperlink>
    </w:p>
    <w:p>
      <w:pPr>
        <w:pStyle w:val="Compact"/>
        <w:numPr>
          <w:ilvl w:val="0"/>
          <w:numId w:val="1003"/>
        </w:numPr>
      </w:pPr>
      <w:hyperlink w:anchor="configuration-and-administration">
        <w:r>
          <w:rPr>
            <w:rStyle w:val="Hyperlink"/>
          </w:rPr>
          <w:t xml:space="preserve">Configuration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administration</w:t>
        </w:r>
      </w:hyperlink>
    </w:p>
    <w:p>
      <w:pPr>
        <w:pStyle w:val="Compact"/>
        <w:numPr>
          <w:ilvl w:val="0"/>
          <w:numId w:val="1003"/>
        </w:numPr>
      </w:pPr>
      <w:hyperlink w:anchor="api-and-integration-examples">
        <w:r>
          <w:rPr>
            <w:rStyle w:val="Hyperlink"/>
          </w:rPr>
          <w:t xml:space="preserve">API and integration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examples</w:t>
        </w:r>
      </w:hyperlink>
    </w:p>
    <w:p>
      <w:pPr>
        <w:pStyle w:val="Compact"/>
        <w:numPr>
          <w:ilvl w:val="0"/>
          <w:numId w:val="1003"/>
        </w:numPr>
      </w:pPr>
      <w:hyperlink w:anchor="mcp-and-automation-boundary">
        <w:r>
          <w:rPr>
            <w:rStyle w:val="Hyperlink"/>
          </w:rPr>
          <w:t xml:space="preserve">MCP and automation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boundary</w:t>
        </w:r>
      </w:hyperlink>
    </w:p>
    <w:p>
      <w:pPr>
        <w:pStyle w:val="Compact"/>
        <w:numPr>
          <w:ilvl w:val="0"/>
          <w:numId w:val="1003"/>
        </w:numPr>
      </w:pPr>
      <w:hyperlink w:anchor="security-and-permissions">
        <w:r>
          <w:rPr>
            <w:rStyle w:val="Hyperlink"/>
          </w:rPr>
          <w:t xml:space="preserve">Security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permissions</w:t>
        </w:r>
      </w:hyperlink>
    </w:p>
    <w:p>
      <w:pPr>
        <w:pStyle w:val="Compact"/>
        <w:numPr>
          <w:ilvl w:val="0"/>
          <w:numId w:val="1003"/>
        </w:numPr>
      </w:pPr>
      <w:hyperlink w:anchor="backup-recovery-and-maintenance">
        <w:r>
          <w:rPr>
            <w:rStyle w:val="Hyperlink"/>
          </w:rPr>
          <w:t xml:space="preserve">Backup recovery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maintenance</w:t>
        </w:r>
      </w:hyperlink>
    </w:p>
    <w:p>
      <w:pPr>
        <w:pStyle w:val="Compact"/>
        <w:numPr>
          <w:ilvl w:val="0"/>
          <w:numId w:val="1003"/>
        </w:numPr>
      </w:pPr>
      <w:hyperlink w:anchor="troubleshooting">
        <w:r>
          <w:rPr>
            <w:rStyle w:val="Hyperlink"/>
          </w:rPr>
          <w:t xml:space="preserve">Troubleshooting</w:t>
        </w:r>
      </w:hyperlink>
    </w:p>
    <w:p>
      <w:pPr>
        <w:pStyle w:val="Compact"/>
        <w:numPr>
          <w:ilvl w:val="0"/>
          <w:numId w:val="1003"/>
        </w:numPr>
      </w:pPr>
      <w:hyperlink w:anchor="verified-workflows-and-limits">
        <w:r>
          <w:rPr>
            <w:rStyle w:val="Hyperlink"/>
          </w:rPr>
          <w:t xml:space="preserve">Verified workflows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limits</w:t>
        </w:r>
      </w:hyperlink>
    </w:p>
    <w:p>
      <w:pPr>
        <w:pStyle w:val="Compact"/>
        <w:numPr>
          <w:ilvl w:val="0"/>
          <w:numId w:val="1003"/>
        </w:numPr>
      </w:pPr>
      <w:hyperlink w:anchor="terms-of-service-and-license">
        <w:r>
          <w:rPr>
            <w:rStyle w:val="Hyperlink"/>
          </w:rPr>
          <w:t xml:space="preserve">Terms of service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license</w:t>
        </w:r>
      </w:hyperlink>
    </w:p>
    <w:p>
      <w:pPr>
        <w:pStyle w:val="Compact"/>
        <w:numPr>
          <w:ilvl w:val="0"/>
          <w:numId w:val="1003"/>
        </w:numPr>
      </w:pPr>
      <w:hyperlink w:anchor="glossary">
        <w:r>
          <w:rPr>
            <w:rStyle w:val="Hyperlink"/>
          </w:rPr>
          <w:t xml:space="preserve">Glossary</w:t>
        </w:r>
      </w:hyperlink>
    </w:p>
    <w:p>
      <w:pPr>
        <w:pStyle w:val="Compact"/>
        <w:numPr>
          <w:ilvl w:val="0"/>
          <w:numId w:val="1003"/>
        </w:numPr>
      </w:pPr>
      <w:hyperlink w:anchor="alphabetical-subject-index">
        <w:r>
          <w:rPr>
            <w:rStyle w:val="Hyperlink"/>
          </w:rPr>
          <w:t xml:space="preserve">Alphabetical subject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index</w:t>
        </w:r>
      </w:hyperlink>
    </w:p>
    <w:p>
      <w:pPr>
        <w:pStyle w:val="Compact"/>
        <w:numPr>
          <w:ilvl w:val="0"/>
          <w:numId w:val="1003"/>
        </w:numPr>
      </w:pPr>
      <w:hyperlink w:anchor="source-and-document-control">
        <w:r>
          <w:rPr>
            <w:rStyle w:val="Hyperlink"/>
          </w:rPr>
          <w:t xml:space="preserve">Source and document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control</w:t>
        </w:r>
      </w:hyperlink>
    </w:p>
    <w:bookmarkEnd w:id="10"/>
    <w:bookmarkStart w:id="11" w:name="using-this-manual"/>
    <w:p>
      <w:pPr>
        <w:pStyle w:val="Heading2"/>
      </w:pPr>
      <w:r>
        <w:t xml:space="preserve">Using this manual</w:t>
      </w:r>
    </w:p>
    <w:p>
      <w:pPr>
        <w:pStyle w:val="FirstParagraph"/>
      </w:pPr>
      <w:r>
        <w:t xml:space="preserve">Townlight Records helps records officers, clerks and authorized</w:t>
      </w:r>
      <w:r>
        <w:t xml:space="preserve"> </w:t>
      </w:r>
      <w:r>
        <w:t xml:space="preserve">reviewers. Records manages request intake, responsive evidence, review</w:t>
      </w:r>
      <w:r>
        <w:t xml:space="preserve"> </w:t>
      </w:r>
      <w:r>
        <w:t xml:space="preserve">and the final response. Material received from another Townlight product</w:t>
      </w:r>
      <w:r>
        <w:t xml:space="preserve"> </w:t>
      </w:r>
      <w:r>
        <w:t xml:space="preserve">is evidence for a request. Records separately controls release</w:t>
      </w:r>
      <w:r>
        <w:t xml:space="preserve"> </w:t>
      </w:r>
      <w:r>
        <w:t xml:space="preserve">decisions, response approval, exports and fulfillment.</w:t>
      </w:r>
    </w:p>
    <w:p>
      <w:pPr>
        <w:pStyle w:val="BodyText"/>
      </w:pPr>
      <w:r>
        <w:t xml:space="preserve">Staff should begin with First run and Daily workflow. Administrators</w:t>
      </w:r>
      <w:r>
        <w:t xml:space="preserve"> </w:t>
      </w:r>
      <w:r>
        <w:t xml:space="preserve">should also read Architecture, Technical specifications, Configuration,</w:t>
      </w:r>
      <w:r>
        <w:t xml:space="preserve"> </w:t>
      </w:r>
      <w:r>
        <w:t xml:space="preserve">Security and Recovery. Developers should use the exact API/data</w:t>
      </w:r>
      <w:r>
        <w:t xml:space="preserve"> </w:t>
      </w:r>
      <w:r>
        <w:t xml:space="preserve">dictionary and examples. The table of contents and alphabetical subject</w:t>
      </w:r>
      <w:r>
        <w:t xml:space="preserve"> </w:t>
      </w:r>
      <w:r>
        <w:t xml:space="preserve">index link to the relevant sections in the HTML edition; the PDF</w:t>
      </w:r>
      <w:r>
        <w:t xml:space="preserve"> </w:t>
      </w:r>
      <w:r>
        <w:t xml:space="preserve">preserves headings and searchable text. An editable Word edition is</w:t>
      </w:r>
      <w:r>
        <w:t xml:space="preserve"> </w:t>
      </w:r>
      <w:r>
        <w:t xml:space="preserve">included with the same documentation companion.</w:t>
      </w:r>
    </w:p>
    <w:bookmarkEnd w:id="11"/>
    <w:bookmarkStart w:id="14" w:name="beta-identity"/>
    <w:p>
      <w:pPr>
        <w:pStyle w:val="Heading2"/>
      </w:pPr>
      <w:r>
        <w:t xml:space="preserve">Beta identity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Identity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Documentation</w:t>
            </w:r>
          </w:p>
        </w:tc>
        <w:tc>
          <w:tcPr/>
          <w:p>
            <w:pPr>
              <w:pStyle w:val="Compact"/>
            </w:pPr>
            <w:r>
              <w:t xml:space="preserve">Townlight Beta 1 naming, Access and Notice candidate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Intended installer version</w:t>
            </w:r>
          </w:p>
        </w:tc>
        <w:tc>
          <w:tcPr/>
          <w:p>
            <w:pPr>
              <w:pStyle w:val="Compact"/>
            </w:pPr>
            <w:r>
              <w:t xml:space="preserve">1.7.0.1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Product component</w:t>
            </w:r>
          </w:p>
        </w:tc>
        <w:tc>
          <w:tcPr/>
          <w:p>
            <w:pPr>
              <w:pStyle w:val="Compact"/>
            </w:pPr>
            <w:r>
              <w:t xml:space="preserve">townlight-records 1.8.0.dev2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Principal import package</w:t>
            </w:r>
          </w:p>
        </w:tc>
        <w:tc>
          <w:tcPr/>
          <w:p>
            <w:pPr>
              <w:pStyle w:val="Compact"/>
            </w:pPr>
            <w:r>
              <w:t xml:space="preserve">townlight_records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Native desktop source version</w:t>
            </w:r>
          </w:p>
        </w:tc>
        <w:tc>
          <w:tcPr/>
          <w:p>
            <w:pPr>
              <w:pStyle w:val="Compact"/>
            </w:pPr>
            <w:r>
              <w:t xml:space="preserve">1.7.0-1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Candidate hashes</w:t>
            </w:r>
          </w:p>
        </w:tc>
        <w:tc>
          <w:tcPr/>
          <w:p>
            <w:pPr>
              <w:pStyle w:val="Compact"/>
            </w:pPr>
            <w:hyperlink r:id="rId12">
              <w:r>
                <w:rPr>
                  <w:rStyle w:val="Hyperlink"/>
                </w:rPr>
                <w:t xml:space="preserve">SHA-256 checksums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r:id="rId13">
              <w:r>
                <w:rPr>
                  <w:rStyle w:val="Hyperlink"/>
                </w:rPr>
                <w:t xml:space="preserve">Windows acceptance summary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Current owned software license</w:t>
            </w:r>
          </w:p>
        </w:tc>
        <w:tc>
          <w:tcPr/>
          <w:p>
            <w:pPr>
              <w:pStyle w:val="Compact"/>
            </w:pPr>
            <w:r>
              <w:t xml:space="preserve">AGPL-3.0-only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Acceptance composition</w:t>
            </w:r>
          </w:p>
        </w:tc>
        <w:tc>
          <w:tcPr/>
          <w:p>
            <w:pPr>
              <w:pStyle w:val="Compact"/>
            </w:pPr>
            <w:r>
              <w:t xml:space="preserve">Fresh Windows x64 profile; inspections-preview; Station configured</w:t>
            </w:r>
            <w:r>
              <w:t xml:space="preserve"> </w:t>
            </w:r>
            <w:r>
              <w:t xml:space="preserve">separately</w:t>
            </w:r>
          </w:p>
        </w:tc>
      </w:tr>
    </w:tbl>
    <w:p>
      <w:pPr>
        <w:pStyle w:val="BodyText"/>
      </w:pPr>
      <w:r>
        <w:t xml:space="preserve">Use an empty database and fresh Windows profile. The installer refuses legacy profile initialization. The approved profile path is</w:t>
      </w:r>
      <w:r>
        <w:t xml:space="preserve"> </w:t>
      </w:r>
      <w:r>
        <w:rPr>
          <w:rStyle w:val="VerbatimChar"/>
        </w:rPr>
        <w:t xml:space="preserve">%LOCALAPPDATA%\CivicSuite</w:t>
      </w:r>
      <w:r>
        <w:t xml:space="preserve">. Keep existing profiles and backups.</w:t>
      </w:r>
    </w:p>
    <w:bookmarkEnd w:id="14"/>
    <w:bookmarkStart w:id="15" w:name="first-run"/>
    <w:p>
      <w:pPr>
        <w:pStyle w:val="Heading2"/>
      </w:pPr>
      <w:r>
        <w:t xml:space="preserve">First run</w:t>
      </w:r>
    </w:p>
    <w:p>
      <w:pPr>
        <w:pStyle w:val="Compact"/>
        <w:numPr>
          <w:ilvl w:val="0"/>
          <w:numId w:val="1004"/>
        </w:numPr>
      </w:pPr>
      <w:r>
        <w:t xml:space="preserve">Download the signed MSI, matching source companion and checksums from the</w:t>
      </w:r>
      <w:r>
        <w:t xml:space="preserve"> </w:t>
      </w:r>
      <w:hyperlink r:id="rId9">
        <w:r>
          <w:rPr>
            <w:rStyle w:val="Hyperlink"/>
          </w:rPr>
          <w:t xml:space="preserve">public Windows release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Verify the MSI hash and Authenticode publisher before installing on a fresh Windows profile. See the</w:t>
      </w:r>
      <w:r>
        <w:t xml:space="preserve"> </w:t>
      </w:r>
      <w:hyperlink r:id="rId13">
        <w:r>
          <w:rPr>
            <w:rStyle w:val="Hyperlink"/>
          </w:rPr>
          <w:t xml:space="preserve">Windows acceptance summary</w:t>
        </w:r>
      </w:hyperlink>
      <w:r>
        <w:t xml:space="preserve"> </w:t>
      </w:r>
      <w:r>
        <w:t xml:space="preserve">for the tested setup.</w:t>
      </w:r>
    </w:p>
    <w:p>
      <w:pPr>
        <w:pStyle w:val="Compact"/>
        <w:numPr>
          <w:ilvl w:val="0"/>
          <w:numId w:val="1004"/>
        </w:numPr>
      </w:pPr>
      <w:r>
        <w:t xml:space="preserve">Launch Townlight under the intended named Windows account. Choose</w:t>
      </w:r>
      <w:r>
        <w:t xml:space="preserve"> </w:t>
      </w:r>
      <w:r>
        <w:t xml:space="preserve">the storage folders. Select</w:t>
      </w:r>
      <w:r>
        <w:t xml:space="preserve"> </w:t>
      </w:r>
      <w:r>
        <w:rPr>
          <w:b/>
          <w:bCs/>
        </w:rPr>
        <w:t xml:space="preserve">Townlight Inspections</w:t>
      </w:r>
      <w:r>
        <w:rPr>
          <w:b/>
          <w:bCs/>
        </w:rPr>
        <w:t xml:space="preserve"> </w:t>
      </w:r>
      <w:r>
        <w:rPr>
          <w:b/>
          <w:bCs/>
        </w:rPr>
        <w:t xml:space="preserve">candidate</w:t>
      </w:r>
      <w:r>
        <w:t xml:space="preserve"> </w:t>
      </w:r>
      <w:r>
        <w:t xml:space="preserve">(</w:t>
      </w:r>
      <w:r>
        <w:rPr>
          <w:rStyle w:val="VerbatimChar"/>
        </w:rPr>
        <w:t xml:space="preserve">inspections-preview</w:t>
      </w:r>
      <w:r>
        <w:t xml:space="preserve">) for the bounded</w:t>
      </w:r>
      <w:r>
        <w:t xml:space="preserve"> </w:t>
      </w:r>
      <w:r>
        <w:t xml:space="preserve">desktop composition, including Access and Notice. A narrower default</w:t>
      </w:r>
      <w:r>
        <w:t xml:space="preserve"> </w:t>
      </w:r>
      <w:r>
        <w:t xml:space="preserve">selection will not expose all workspaces.</w:t>
      </w:r>
    </w:p>
    <w:p>
      <w:pPr>
        <w:pStyle w:val="Compact"/>
        <w:numPr>
          <w:ilvl w:val="0"/>
          <w:numId w:val="1004"/>
        </w:numPr>
      </w:pPr>
      <w:r>
        <w:t xml:space="preserve">Enter the city profile, time zone and contacts. Create the first</w:t>
      </w:r>
      <w:r>
        <w:t xml:space="preserve"> </w:t>
      </w:r>
      <w:r>
        <w:t xml:space="preserve">named local administrator, sign in and choose protected backup storage.</w:t>
      </w:r>
      <w:r>
        <w:t xml:space="preserve"> </w:t>
      </w:r>
      <w:r>
        <w:rPr>
          <w:b/>
          <w:bCs/>
        </w:rPr>
        <w:t xml:space="preserve">Continue without local AI</w:t>
      </w:r>
      <w:r>
        <w:t xml:space="preserve"> </w:t>
      </w:r>
      <w:r>
        <w:t xml:space="preserve">is valid for the</w:t>
      </w:r>
      <w:r>
        <w:t xml:space="preserve"> </w:t>
      </w:r>
      <w:r>
        <w:t xml:space="preserve">deterministic workflows.</w:t>
      </w:r>
    </w:p>
    <w:p>
      <w:pPr>
        <w:pStyle w:val="Compact"/>
        <w:numPr>
          <w:ilvl w:val="0"/>
          <w:numId w:val="1004"/>
        </w:numPr>
      </w:pPr>
      <w:r>
        <w:t xml:space="preserve">Run Health Check and wait for readiness. Open Townlight. In System</w:t>
      </w:r>
      <w:r>
        <w:t xml:space="preserve"> </w:t>
      </w:r>
      <w:r>
        <w:t xml:space="preserve">Health select</w:t>
      </w:r>
      <w:r>
        <w:t xml:space="preserve"> </w:t>
      </w:r>
      <w:r>
        <w:rPr>
          <w:b/>
          <w:bCs/>
        </w:rPr>
        <w:t xml:space="preserve">Finish Records Migration</w:t>
      </w:r>
      <w:r>
        <w:t xml:space="preserve"> </w:t>
      </w:r>
      <w:r>
        <w:t xml:space="preserve">to activate the</w:t>
      </w:r>
      <w:r>
        <w:t xml:space="preserve"> </w:t>
      </w:r>
      <w:r>
        <w:t xml:space="preserve">canonical Python/PostgreSQL runtime. Do not fabricate migration receipts</w:t>
      </w:r>
      <w:r>
        <w:t xml:space="preserve"> </w:t>
      </w:r>
      <w:r>
        <w:t xml:space="preserve">or seed accounts.</w:t>
      </w:r>
    </w:p>
    <w:p>
      <w:pPr>
        <w:pStyle w:val="Compact"/>
        <w:numPr>
          <w:ilvl w:val="0"/>
          <w:numId w:val="1004"/>
        </w:numPr>
      </w:pPr>
      <w:r>
        <w:t xml:space="preserve">Create named staff through Settings. Import authorized sources using</w:t>
      </w:r>
      <w:r>
        <w:t xml:space="preserve"> </w:t>
      </w:r>
      <w:r>
        <w:t xml:space="preserve">each product’s source library. All examples in this package are</w:t>
      </w:r>
      <w:r>
        <w:t xml:space="preserve"> </w:t>
      </w:r>
      <w:r>
        <w:t xml:space="preserve">synthetic; they are not municipal authority.</w:t>
      </w:r>
    </w:p>
    <w:p>
      <w:pPr>
        <w:pStyle w:val="Compact"/>
        <w:numPr>
          <w:ilvl w:val="0"/>
          <w:numId w:val="1004"/>
        </w:numPr>
      </w:pPr>
      <w:r>
        <w:t xml:space="preserve">Provision Station separately if it is part of the beta exercise.</w:t>
      </w:r>
      <w:r>
        <w:t xml:space="preserve"> </w:t>
      </w:r>
      <w:r>
        <w:t xml:space="preserve">Selecting the desktop composition does not start or configure Station.</w:t>
      </w:r>
      <w:r>
        <w:t xml:space="preserve"> </w:t>
      </w:r>
      <w:r>
        <w:t xml:space="preserve">Configure vision explicitly only if automatic photo drafting is</w:t>
      </w:r>
      <w:r>
        <w:t xml:space="preserve"> </w:t>
      </w:r>
      <w:r>
        <w:t xml:space="preserve">selected.</w:t>
      </w:r>
    </w:p>
    <w:bookmarkEnd w:id="15"/>
    <w:bookmarkStart w:id="31" w:name="daily-workflow"/>
    <w:p>
      <w:pPr>
        <w:pStyle w:val="Heading2"/>
      </w:pPr>
      <w:r>
        <w:t xml:space="preserve">Daily workflow</w:t>
      </w:r>
    </w:p>
    <w:p>
      <w:pPr>
        <w:pStyle w:val="FirstParagraph"/>
      </w:pPr>
      <w:bookmarkStart w:id="16" w:name="workflow-1"/>
      <w:bookmarkEnd w:id="16"/>
    </w:p>
    <w:bookmarkStart w:id="18" w:name="receive-and-identify-the-request"/>
    <w:p>
      <w:pPr>
        <w:pStyle w:val="Heading3"/>
      </w:pPr>
      <w:r>
        <w:t xml:space="preserve">1. Receive and identify the</w:t>
      </w:r>
      <w:r>
        <w:t xml:space="preserve"> </w:t>
      </w:r>
      <w:r>
        <w:t xml:space="preserve">request</w:t>
      </w:r>
    </w:p>
    <w:p>
      <w:pPr>
        <w:pStyle w:val="FirstParagraph"/>
      </w:pPr>
      <w:r>
        <w:t xml:space="preserve">Create the request with its requester, description and recorded</w:t>
      </w:r>
      <w:r>
        <w:t xml:space="preserve"> </w:t>
      </w:r>
      <w:r>
        <w:t xml:space="preserve">deadline basis. Save it and retain the request identifier. Record</w:t>
      </w:r>
      <w:r>
        <w:t xml:space="preserve"> </w:t>
      </w:r>
      <w:r>
        <w:t xml:space="preserve">assignment, clarification and work in the request history.</w:t>
      </w:r>
    </w:p>
    <w:p>
      <w:pPr>
        <w:pStyle w:val="BodyText"/>
      </w:pPr>
      <w:bookmarkStart w:id="17" w:name="workflow-2"/>
      <w:bookmarkEnd w:id="17"/>
    </w:p>
    <w:bookmarkEnd w:id="18"/>
    <w:bookmarkStart w:id="20" w:name="find-responsive-evidence"/>
    <w:p>
      <w:pPr>
        <w:pStyle w:val="Heading3"/>
      </w:pPr>
      <w:r>
        <w:t xml:space="preserve">2. Find responsive evidence</w:t>
      </w:r>
    </w:p>
    <w:p>
      <w:pPr>
        <w:pStyle w:val="FirstParagraph"/>
      </w:pPr>
      <w:r>
        <w:t xml:space="preserve">Search only the permitted sources. Inspect the source title, date,</w:t>
      </w:r>
      <w:r>
        <w:t xml:space="preserve"> </w:t>
      </w:r>
      <w:r>
        <w:t xml:space="preserve">citation, visibility and version before attaching responsive material.</w:t>
      </w:r>
      <w:r>
        <w:t xml:space="preserve"> </w:t>
      </w:r>
      <w:r>
        <w:t xml:space="preserve">Open the saved attachment to confirm that it is the intended</w:t>
      </w:r>
      <w:r>
        <w:t xml:space="preserve"> </w:t>
      </w:r>
      <w:r>
        <w:t xml:space="preserve">evidence.</w:t>
      </w:r>
    </w:p>
    <w:p>
      <w:pPr>
        <w:pStyle w:val="BodyText"/>
      </w:pPr>
      <w:bookmarkStart w:id="19" w:name="workflow-3"/>
      <w:bookmarkEnd w:id="19"/>
    </w:p>
    <w:bookmarkEnd w:id="20"/>
    <w:bookmarkStart w:id="22" w:name="preserve-the-original"/>
    <w:p>
      <w:pPr>
        <w:pStyle w:val="Heading3"/>
      </w:pPr>
      <w:r>
        <w:t xml:space="preserve">3. Preserve the original</w:t>
      </w:r>
    </w:p>
    <w:p>
      <w:pPr>
        <w:pStyle w:val="FirstParagraph"/>
      </w:pPr>
      <w:r>
        <w:t xml:space="preserve">Keep original bytes and their hash. Add a separately reviewed</w:t>
      </w:r>
      <w:r>
        <w:t xml:space="preserve"> </w:t>
      </w:r>
      <w:r>
        <w:t xml:space="preserve">release-ready or redacted copy when needed. Renaming a private file does</w:t>
      </w:r>
      <w:r>
        <w:t xml:space="preserve"> </w:t>
      </w:r>
      <w:r>
        <w:t xml:space="preserve">not remove private content.</w:t>
      </w:r>
    </w:p>
    <w:p>
      <w:pPr>
        <w:pStyle w:val="BodyText"/>
      </w:pPr>
      <w:bookmarkStart w:id="21" w:name="workflow-4"/>
      <w:bookmarkEnd w:id="21"/>
    </w:p>
    <w:bookmarkEnd w:id="22"/>
    <w:bookmarkStart w:id="24" w:name="record-each-release-decision"/>
    <w:p>
      <w:pPr>
        <w:pStyle w:val="Heading3"/>
      </w:pPr>
      <w:r>
        <w:t xml:space="preserve">4. Record each release</w:t>
      </w:r>
      <w:r>
        <w:t xml:space="preserve"> </w:t>
      </w:r>
      <w:r>
        <w:t xml:space="preserve">decision</w:t>
      </w:r>
    </w:p>
    <w:p>
      <w:pPr>
        <w:pStyle w:val="FirstParagraph"/>
      </w:pPr>
      <w:r>
        <w:t xml:space="preserve">Explicitly record release, redact or exempt for the relevant</w:t>
      </w:r>
      <w:r>
        <w:t xml:space="preserve"> </w:t>
      </w:r>
      <w:r>
        <w:t xml:space="preserve">document, with the applicable reason and source. Do not treat an AI</w:t>
      </w:r>
      <w:r>
        <w:t xml:space="preserve"> </w:t>
      </w:r>
      <w:r>
        <w:t xml:space="preserve">suggestion or another product’s review as the Records legal</w:t>
      </w:r>
      <w:r>
        <w:t xml:space="preserve"> </w:t>
      </w:r>
      <w:r>
        <w:t xml:space="preserve">decision.</w:t>
      </w:r>
    </w:p>
    <w:p>
      <w:pPr>
        <w:pStyle w:val="BodyText"/>
      </w:pPr>
      <w:bookmarkStart w:id="23" w:name="workflow-5"/>
      <w:bookmarkEnd w:id="23"/>
    </w:p>
    <w:bookmarkEnd w:id="24"/>
    <w:bookmarkStart w:id="26" w:name="draft-and-approve"/>
    <w:p>
      <w:pPr>
        <w:pStyle w:val="Heading3"/>
      </w:pPr>
      <w:r>
        <w:t xml:space="preserve">5. Draft and approve</w:t>
      </w:r>
    </w:p>
    <w:p>
      <w:pPr>
        <w:pStyle w:val="FirstParagraph"/>
      </w:pPr>
      <w:r>
        <w:t xml:space="preserve">Draft the response and review the selected attachments. Record</w:t>
      </w:r>
      <w:r>
        <w:t xml:space="preserve"> </w:t>
      </w:r>
      <w:r>
        <w:t xml:space="preserve">approval of the exact response text. Editing that text changes its hash</w:t>
      </w:r>
      <w:r>
        <w:t xml:space="preserve"> </w:t>
      </w:r>
      <w:r>
        <w:t xml:space="preserve">and requires a new approval.</w:t>
      </w:r>
    </w:p>
    <w:p>
      <w:pPr>
        <w:pStyle w:val="BodyText"/>
      </w:pPr>
      <w:bookmarkStart w:id="25" w:name="workflow-6"/>
      <w:bookmarkEnd w:id="25"/>
    </w:p>
    <w:bookmarkEnd w:id="26"/>
    <w:bookmarkStart w:id="28" w:name="export-both-artifacts"/>
    <w:p>
      <w:pPr>
        <w:pStyle w:val="Heading3"/>
      </w:pPr>
      <w:r>
        <w:t xml:space="preserve">6. Export both artifacts</w:t>
      </w:r>
    </w:p>
    <w:p>
      <w:pPr>
        <w:pStyle w:val="FirstParagraph"/>
      </w:pPr>
      <w:r>
        <w:t xml:space="preserve">Export the approved response and the release package. If release is</w:t>
      </w:r>
      <w:r>
        <w:t xml:space="preserve"> </w:t>
      </w:r>
      <w:r>
        <w:t xml:space="preserve">refused, inspect the missing decision, approval or source-permission</w:t>
      </w:r>
      <w:r>
        <w:t xml:space="preserve"> </w:t>
      </w:r>
      <w:r>
        <w:t xml:space="preserve">message. Resolve that condition before trying again.</w:t>
      </w:r>
    </w:p>
    <w:p>
      <w:pPr>
        <w:pStyle w:val="BodyText"/>
      </w:pPr>
      <w:bookmarkStart w:id="27" w:name="workflow-7"/>
      <w:bookmarkEnd w:id="27"/>
    </w:p>
    <w:bookmarkEnd w:id="28"/>
    <w:bookmarkStart w:id="29" w:name="fulfill-and-retain"/>
    <w:p>
      <w:pPr>
        <w:pStyle w:val="Heading3"/>
      </w:pPr>
      <w:r>
        <w:t xml:space="preserve">7. Fulfill and retain</w:t>
      </w:r>
    </w:p>
    <w:p>
      <w:pPr>
        <w:pStyle w:val="FirstParagraph"/>
      </w:pPr>
      <w:r>
        <w:t xml:space="preserve">Use the explicit fulfillment action only after checking the outgoing</w:t>
      </w:r>
      <w:r>
        <w:t xml:space="preserve"> </w:t>
      </w:r>
      <w:r>
        <w:t xml:space="preserve">artifacts. Retain the response, package and history. A preview,</w:t>
      </w:r>
      <w:r>
        <w:t xml:space="preserve"> </w:t>
      </w:r>
      <w:r>
        <w:t xml:space="preserve">attachment or export by itself does not fulfill the request.</w:t>
      </w:r>
    </w:p>
    <w:bookmarkEnd w:id="29"/>
    <w:bookmarkStart w:id="30" w:name="working-safely"/>
    <w:p>
      <w:pPr>
        <w:pStyle w:val="Heading3"/>
      </w:pPr>
      <w:r>
        <w:t xml:space="preserve">Working safely</w:t>
      </w:r>
    </w:p>
    <w:p>
      <w:pPr>
        <w:pStyle w:val="FirstParagraph"/>
      </w:pPr>
      <w:r>
        <w:t xml:space="preserve">Use your own named account and save before leaving a screen. A saved</w:t>
      </w:r>
      <w:r>
        <w:t xml:space="preserve"> </w:t>
      </w:r>
      <w:r>
        <w:t xml:space="preserve">draft is durable; unsaved form text may not be. If a write has an</w:t>
      </w:r>
      <w:r>
        <w:t xml:space="preserve"> </w:t>
      </w:r>
      <w:r>
        <w:t xml:space="preserve">unknown result, reopen its record before repeating it.</w:t>
      </w:r>
    </w:p>
    <w:p>
      <w:pPr>
        <w:pStyle w:val="BodyText"/>
      </w:pPr>
      <w:r>
        <w:t xml:space="preserve">Read source jurisdiction, dates, citation, version and visibility. A</w:t>
      </w:r>
      <w:r>
        <w:t xml:space="preserve"> </w:t>
      </w:r>
      <w:r>
        <w:t xml:space="preserve">copied source hash identifies exact bytes, not their legal</w:t>
      </w:r>
      <w:r>
        <w:t xml:space="preserve"> </w:t>
      </w:r>
      <w:r>
        <w:t xml:space="preserve">applicability. If a source changes or permission is removed, resolve the</w:t>
      </w:r>
      <w:r>
        <w:t xml:space="preserve"> </w:t>
      </w:r>
      <w:r>
        <w:t xml:space="preserve">source problem rather than substituting stale cached content.</w:t>
      </w:r>
    </w:p>
    <w:p>
      <w:pPr>
        <w:pStyle w:val="BodyText"/>
      </w:pPr>
      <w:r>
        <w:t xml:space="preserve">Keep originals and derivatives separate. Review the intended audience</w:t>
      </w:r>
      <w:r>
        <w:t xml:space="preserve"> </w:t>
      </w:r>
      <w:r>
        <w:t xml:space="preserve">before export. A public summary excludes private fields only through the</w:t>
      </w:r>
      <w:r>
        <w:t xml:space="preserve"> </w:t>
      </w:r>
      <w:r>
        <w:t xml:space="preserve">applicable copy contract and your review. A renamed private packet is</w:t>
      </w:r>
      <w:r>
        <w:t xml:space="preserve"> </w:t>
      </w:r>
      <w:r>
        <w:t xml:space="preserve">still private content.</w:t>
      </w:r>
    </w:p>
    <w:p>
      <w:pPr>
        <w:pStyle w:val="BodyText"/>
      </w:pPr>
      <w:r>
        <w:t xml:space="preserve">Drafting, review, approval, attachment, export, fulfillment and</w:t>
      </w:r>
      <w:r>
        <w:t xml:space="preserve"> </w:t>
      </w:r>
      <w:r>
        <w:t xml:space="preserve">publication are separate operations. A Townlight workpaper does not</w:t>
      </w:r>
      <w:r>
        <w:t xml:space="preserve"> </w:t>
      </w:r>
      <w:r>
        <w:t xml:space="preserve">itself adopt law, issue a permit, impose a fine or release a records</w:t>
      </w:r>
      <w:r>
        <w:t xml:space="preserve"> </w:t>
      </w:r>
      <w:r>
        <w:t xml:space="preserve">response. The responsible staff member records the applicable</w:t>
      </w:r>
      <w:r>
        <w:t xml:space="preserve"> </w:t>
      </w:r>
      <w:r>
        <w:t xml:space="preserve">decision.</w:t>
      </w:r>
    </w:p>
    <w:bookmarkEnd w:id="30"/>
    <w:bookmarkEnd w:id="31"/>
    <w:bookmarkStart w:id="33" w:name="connected-workflows"/>
    <w:p>
      <w:pPr>
        <w:pStyle w:val="Heading2"/>
      </w:pPr>
      <w:r>
        <w:t xml:space="preserve">Connected workflows</w:t>
      </w:r>
    </w:p>
    <w:p>
      <w:pPr>
        <w:pStyle w:val="FirstParagraph"/>
      </w:pPr>
      <w:r>
        <w:t xml:space="preserve">Receives selected evidence from Meetings, Code, Zoning, Planning,</w:t>
      </w:r>
      <w:r>
        <w:t xml:space="preserve"> </w:t>
      </w:r>
      <w:r>
        <w:t xml:space="preserve">Permitting, Inspections and Station. Station originals are locked</w:t>
      </w:r>
      <w:r>
        <w:t xml:space="preserve"> </w:t>
      </w:r>
      <w:r>
        <w:t xml:space="preserve">private evidence. A product’s public copy remains subject to the Records</w:t>
      </w:r>
      <w:r>
        <w:t xml:space="preserve"> </w:t>
      </w:r>
      <w:r>
        <w:t xml:space="preserve">response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Direction</w:t>
            </w:r>
          </w:p>
        </w:tc>
        <w:tc>
          <w:tcPr/>
          <w:p>
            <w:pPr>
              <w:pStyle w:val="Compact"/>
            </w:pPr>
            <w:r>
              <w:t xml:space="preserve">Material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A request description and requester, authorized source documents,</w:t>
            </w:r>
            <w:r>
              <w:t xml:space="preserve"> </w:t>
            </w:r>
            <w:r>
              <w:t xml:space="preserve">explicit cross-product evidence selections and a reviewer’s</w:t>
            </w:r>
            <w:r>
              <w:t xml:space="preserve"> </w:t>
            </w:r>
            <w:r>
              <w:t xml:space="preserve">decisions.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Output</w:t>
            </w:r>
          </w:p>
        </w:tc>
        <w:tc>
          <w:tcPr/>
          <w:p>
            <w:pPr>
              <w:pStyle w:val="Compact"/>
            </w:pPr>
            <w:r>
              <w:t xml:space="preserve">A retained request history, reviewed attachments, approved response</w:t>
            </w:r>
            <w:r>
              <w:t xml:space="preserve"> </w:t>
            </w:r>
            <w:r>
              <w:t xml:space="preserve">text and a release package after the applicable release checks.</w:t>
            </w:r>
          </w:p>
        </w:tc>
      </w:tr>
    </w:tbl>
    <w:bookmarkStart w:id="32" w:name="product-boundary"/>
    <w:p>
      <w:pPr>
        <w:pStyle w:val="Heading3"/>
      </w:pPr>
      <w:r>
        <w:t xml:space="preserve">Product boundary</w:t>
      </w:r>
    </w:p>
    <w:p>
      <w:pPr>
        <w:pStyle w:val="FirstParagraph"/>
      </w:pPr>
      <w:r>
        <w:t xml:space="preserve">The selected staff workflow is accepted. A resident internet</w:t>
      </w:r>
      <w:r>
        <w:t xml:space="preserve"> </w:t>
      </w:r>
      <w:r>
        <w:t xml:space="preserve">deployment, every jurisdiction’s requirements, complete federation and</w:t>
      </w:r>
      <w:r>
        <w:t xml:space="preserve"> </w:t>
      </w:r>
      <w:r>
        <w:t xml:space="preserve">exhaustive redaction/accessibility behavior are not certified by that</w:t>
      </w:r>
      <w:r>
        <w:t xml:space="preserve"> </w:t>
      </w:r>
      <w:r>
        <w:t xml:space="preserve">acceptance. SMTP code exists; logging a message or outbox entry does not</w:t>
      </w:r>
      <w:r>
        <w:t xml:space="preserve"> </w:t>
      </w:r>
      <w:r>
        <w:t xml:space="preserve">establish email delivery.</w:t>
      </w:r>
    </w:p>
    <w:bookmarkEnd w:id="32"/>
    <w:bookmarkEnd w:id="33"/>
    <w:bookmarkStart w:id="37" w:name="architecture"/>
    <w:p>
      <w:pPr>
        <w:pStyle w:val="Heading2"/>
      </w:pPr>
      <w:r>
        <w:t xml:space="preserve">Architecture</w:t>
      </w:r>
    </w:p>
    <w:p>
      <w:pPr>
        <w:pStyle w:val="CaptionedFigure"/>
      </w:pPr>
      <w:r>
        <w:drawing>
          <wp:inline>
            <wp:extent cx="5334000" cy="1889125"/>
            <wp:effectExtent b="0" l="0" r="0" t="0"/>
            <wp:docPr descr="Townlight Records architecture and evidence flow" title="" id="35" name="Picture"/>
            <a:graphic>
              <a:graphicData uri="http://schemas.openxmlformats.org/drawingml/2006/picture">
                <pic:pic>
                  <pic:nvPicPr>
                    <pic:cNvPr descr="C:/Users/scott/Documents/Codex/2026-11-02/rea/work/combined-candidate/repos/townlight.github.io/assets/word/records-architectur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9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Townlight Records architecture and</w:t>
      </w:r>
      <w:r>
        <w:t xml:space="preserve"> </w:t>
      </w:r>
      <w:r>
        <w:t xml:space="preserve">evidence flow</w:t>
      </w:r>
    </w:p>
    <w:p>
      <w:pPr>
        <w:pStyle w:val="BodyText"/>
      </w:pPr>
      <w:r>
        <w:t xml:space="preserve">The drawing shows the principal staff/evidence path. Native commands</w:t>
      </w:r>
      <w:r>
        <w:t xml:space="preserve"> </w:t>
      </w:r>
      <w:r>
        <w:t xml:space="preserve">carry trusted identity to Python business services; PostgreSQL and</w:t>
      </w:r>
      <w:r>
        <w:t xml:space="preserve"> </w:t>
      </w:r>
      <w:r>
        <w:t xml:space="preserve">retained original files hold durable state. A downstream copy does not</w:t>
      </w:r>
      <w:r>
        <w:t xml:space="preserve"> </w:t>
      </w:r>
      <w:r>
        <w:t xml:space="preserve">silently transfer decision authority. Station has its own configured</w:t>
      </w:r>
      <w:r>
        <w:t xml:space="preserve"> </w:t>
      </w:r>
      <w:r>
        <w:t xml:space="preserve">authority/media boundary, database and mutable files. The</w:t>
      </w:r>
      <w:r>
        <w:t xml:space="preserve"> </w:t>
      </w:r>
      <w:r>
        <w:t xml:space="preserve">connected-workflow text supplies the drawing’s reading order and</w:t>
      </w:r>
      <w:r>
        <w:t xml:space="preserve"> </w:t>
      </w:r>
      <w:r>
        <w:t xml:space="preserve">accessibility alternative.</w:t>
      </w:r>
    </w:p>
    <w:bookmarkEnd w:id="37"/>
    <w:bookmarkStart w:id="45" w:name="X76b967ecaf2ea2beb74ae290cac52c3299e8aac"/>
    <w:p>
      <w:pPr>
        <w:pStyle w:val="Heading2"/>
      </w:pPr>
      <w:r>
        <w:t xml:space="preserve">Fees messages</w:t>
      </w:r>
      <w:r>
        <w:t xml:space="preserve"> </w:t>
      </w:r>
      <w:r>
        <w:t xml:space="preserve">notifications and local intake</w:t>
      </w:r>
    </w:p>
    <w:bookmarkStart w:id="40" w:name="record-a-fee-line-or-waiver"/>
    <w:p>
      <w:pPr>
        <w:pStyle w:val="Heading3"/>
      </w:pPr>
      <w:r>
        <w:t xml:space="preserve">Record a fee line or waiver</w:t>
      </w:r>
    </w:p>
    <w:p>
      <w:pPr>
        <w:pStyle w:val="FirstParagraph"/>
      </w:pPr>
      <w:r>
        <w:t xml:space="preserve">Open the saved request’s existing fee controls. Enter the</w:t>
      </w:r>
      <w:r>
        <w:t xml:space="preserve"> </w:t>
      </w:r>
      <w:r>
        <w:t xml:space="preserve">description, adopted schedule/source basis and exact amount in dollars</w:t>
      </w:r>
      <w:r>
        <w:t xml:space="preserve"> </w:t>
      </w:r>
      <w:r>
        <w:t xml:space="preserve">and cents. For example, a synthetic line can use description “Synthetic</w:t>
      </w:r>
      <w:r>
        <w:t xml:space="preserve"> </w:t>
      </w:r>
      <w:r>
        <w:t xml:space="preserve">reproduction,” basis “Fictional test schedule” and amount</w:t>
      </w:r>
      <w:r>
        <w:t xml:space="preserve"> </w:t>
      </w:r>
      <w:r>
        <w:rPr>
          <w:rStyle w:val="VerbatimChar"/>
        </w:rPr>
        <w:t xml:space="preserve">12.50</w:t>
      </w:r>
      <w:r>
        <w:t xml:space="preserve">. Save and reopen the request. Inspect</w:t>
      </w:r>
      <w:r>
        <w:t xml:space="preserve"> </w:t>
      </w:r>
      <w:r>
        <w:rPr>
          <w:rStyle w:val="VerbatimChar"/>
        </w:rPr>
        <w:t xml:space="preserve">fee_line_items</w:t>
      </w:r>
      <w:r>
        <w:t xml:space="preserve">,</w:t>
      </w:r>
      <w:r>
        <w:t xml:space="preserve"> </w:t>
      </w:r>
      <w:r>
        <w:rPr>
          <w:rStyle w:val="VerbatimChar"/>
        </w:rPr>
        <w:t xml:space="preserve">fee_status</w:t>
      </w:r>
      <w:r>
        <w:t xml:space="preserve"> </w:t>
      </w:r>
      <w:r>
        <w:t xml:space="preserve">and the resulting</w:t>
      </w:r>
      <w:r>
        <w:t xml:space="preserve"> </w:t>
      </w:r>
      <w:r>
        <w:t xml:space="preserve">estimate. The native line validator accepts positive exact cents;</w:t>
      </w:r>
      <w:r>
        <w:t xml:space="preserve"> </w:t>
      </w:r>
      <w:r>
        <w:t xml:space="preserve">additional fractional cents, negative values and a zero line are</w:t>
      </w:r>
      <w:r>
        <w:t xml:space="preserve"> </w:t>
      </w:r>
      <w:r>
        <w:t xml:space="preserve">refused.</w:t>
      </w:r>
    </w:p>
    <w:p>
      <w:pPr>
        <w:pStyle w:val="BodyText"/>
      </w:pPr>
      <w:r>
        <w:t xml:space="preserve">To waive the request fee, record the actual waiver reason and save</w:t>
      </w:r>
      <w:r>
        <w:t xml:space="preserve"> </w:t>
      </w:r>
      <w:r>
        <w:t xml:space="preserve">through the waiver control. Reopen the request and confirm waived status</w:t>
      </w:r>
      <w:r>
        <w:t xml:space="preserve"> </w:t>
      </w:r>
      <w:r>
        <w:t xml:space="preserve">and the zero-dollar waiver explanation. Adding a later line preserves</w:t>
      </w:r>
      <w:r>
        <w:t xml:space="preserve"> </w:t>
      </w:r>
      <w:r>
        <w:t xml:space="preserve">the waiver in the current workflow; do not assume it reinstates a</w:t>
      </w:r>
      <w:r>
        <w:t xml:space="preserve"> </w:t>
      </w:r>
      <w:r>
        <w:t xml:space="preserve">payable balance. These are Records workflow amounts and decisions, not</w:t>
      </w:r>
      <w:r>
        <w:t xml:space="preserve"> </w:t>
      </w:r>
      <w:r>
        <w:t xml:space="preserve">an official permit-fee calculator or payment service.</w:t>
      </w:r>
    </w:p>
    <w:p>
      <w:pPr>
        <w:pStyle w:val="BodyText"/>
      </w:pPr>
      <w:r>
        <w:t xml:space="preserve">A trusted native client uses</w:t>
      </w:r>
      <w:r>
        <w:t xml:space="preserve"> </w:t>
      </w:r>
      <w:r>
        <w:rPr>
          <w:rStyle w:val="VerbatimChar"/>
        </w:rPr>
        <w:t xml:space="preserve">records_domain_request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operation: 'apply'</w:t>
      </w:r>
      <w:r>
        <w:t xml:space="preserve">, the real</w:t>
      </w:r>
      <w:r>
        <w:t xml:space="preserve"> </w:t>
      </w:r>
      <w:r>
        <w:rPr>
          <w:rStyle w:val="VerbatimChar"/>
        </w:rPr>
        <w:t xml:space="preserve">request_id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/</w:t>
      </w:r>
      <w:r>
        <w:rPr>
          <w:rStyle w:val="VerbatimChar"/>
        </w:rPr>
        <w:t xml:space="preserve">payload</w:t>
      </w:r>
      <w:r>
        <w:t xml:space="preserve"> </w:t>
      </w:r>
      <w:r>
        <w:t xml:space="preserve">fields from the fragments below</w:t>
      </w:r>
      <w:r>
        <w:t xml:space="preserve"> </w:t>
      </w:r>
      <w:r>
        <w:t xml:space="preserve">at the same level as</w:t>
      </w:r>
      <w:r>
        <w:t xml:space="preserve"> </w:t>
      </w:r>
      <w:r>
        <w:rPr>
          <w:rStyle w:val="VerbatimChar"/>
        </w:rPr>
        <w:t xml:space="preserve">operation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request_id</w:t>
      </w:r>
      <w:r>
        <w:t xml:space="preserve">.</w:t>
      </w:r>
      <w:r>
        <w:t xml:space="preserve"> </w:t>
      </w:r>
      <w:r>
        <w:t xml:space="preserve">Examples of command payloads follow; IDs and permissions still come from</w:t>
      </w:r>
      <w:r>
        <w:t xml:space="preserve"> </w:t>
      </w:r>
      <w:r>
        <w:t xml:space="preserve">the signed-in synthetic account.</w:t>
      </w:r>
    </w:p>
    <w:bookmarkStart w:id="38" w:name="cb1"/>
    <w:p>
      <w:pPr>
        <w:pStyle w:val="SourceCode"/>
      </w:pPr>
      <w:r>
        <w:rPr>
          <w:rStyle w:val="FunctionTok"/>
        </w:rPr>
        <w:t xml:space="preserve">{</w:t>
      </w:r>
      <w:r>
        <w:rPr>
          <w:rStyle w:val="DataTypeTok"/>
        </w:rPr>
        <w:t xml:space="preserve">"action"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"add-records-fee-line"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"payload"</w:t>
      </w:r>
      <w:r>
        <w:rPr>
          <w:rStyle w:val="FunctionTok"/>
        </w:rPr>
        <w:t xml:space="preserve">:{</w:t>
      </w:r>
      <w:r>
        <w:rPr>
          <w:rStyle w:val="DataTypeTok"/>
        </w:rPr>
        <w:t xml:space="preserve">"feeLineDescription"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"Synthetic reproduction"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"feeScheduleBasis"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"Fictional test schedule"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"feeLineAmount"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"12.50"</w:t>
      </w:r>
      <w:r>
        <w:rPr>
          <w:rStyle w:val="FunctionTok"/>
        </w:rPr>
        <w:t xml:space="preserve">}}</w:t>
      </w:r>
    </w:p>
    <w:bookmarkEnd w:id="38"/>
    <w:bookmarkStart w:id="39" w:name="cb2"/>
    <w:p>
      <w:pPr>
        <w:pStyle w:val="SourceCode"/>
      </w:pPr>
      <w:r>
        <w:rPr>
          <w:rStyle w:val="FunctionTok"/>
        </w:rPr>
        <w:t xml:space="preserve">{</w:t>
      </w:r>
      <w:r>
        <w:rPr>
          <w:rStyle w:val="DataTypeTok"/>
        </w:rPr>
        <w:t xml:space="preserve">"action"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"waive-records-fee"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"payload"</w:t>
      </w:r>
      <w:r>
        <w:rPr>
          <w:rStyle w:val="FunctionTok"/>
        </w:rPr>
        <w:t xml:space="preserve">:{</w:t>
      </w:r>
      <w:r>
        <w:rPr>
          <w:rStyle w:val="DataTypeTok"/>
        </w:rPr>
        <w:t xml:space="preserve">"feeWaiverReason"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"Synthetic public-interest exercise"</w:t>
      </w:r>
      <w:r>
        <w:rPr>
          <w:rStyle w:val="FunctionTok"/>
        </w:rPr>
        <w:t xml:space="preserve">}}</w:t>
      </w:r>
    </w:p>
    <w:bookmarkEnd w:id="39"/>
    <w:p>
      <w:pPr>
        <w:pStyle w:val="FirstParagraph"/>
      </w:pPr>
      <w:r>
        <w:t xml:space="preserve">Use the exact outer apply contract in the API reference rather than</w:t>
      </w:r>
      <w:r>
        <w:t xml:space="preserve"> </w:t>
      </w:r>
      <w:r>
        <w:t xml:space="preserve">sending these command fragments to an arbitrary URL. After either</w:t>
      </w:r>
      <w:r>
        <w:t xml:space="preserve"> </w:t>
      </w:r>
      <w:r>
        <w:t xml:space="preserve">operation, read the request again; a saved amount does not approve or</w:t>
      </w:r>
      <w:r>
        <w:t xml:space="preserve"> </w:t>
      </w:r>
      <w:r>
        <w:t xml:space="preserve">fulfill the response.</w:t>
      </w:r>
    </w:p>
    <w:bookmarkEnd w:id="40"/>
    <w:bookmarkStart w:id="41" w:name="save-staff-and-requester-messages"/>
    <w:p>
      <w:pPr>
        <w:pStyle w:val="Heading3"/>
      </w:pPr>
      <w:r>
        <w:t xml:space="preserve">Save staff and requester</w:t>
      </w:r>
      <w:r>
        <w:t xml:space="preserve"> </w:t>
      </w:r>
      <w:r>
        <w:t xml:space="preserve">messages</w:t>
      </w:r>
    </w:p>
    <w:p>
      <w:pPr>
        <w:pStyle w:val="FirstParagraph"/>
      </w:pPr>
      <w:r>
        <w:t xml:space="preserve">In the saved request, enter a message and use its explicit send/save</w:t>
      </w:r>
      <w:r>
        <w:t xml:space="preserve"> </w:t>
      </w:r>
      <w:r>
        <w:t xml:space="preserve">action. The native</w:t>
      </w:r>
      <w:r>
        <w:t xml:space="preserve"> </w:t>
      </w:r>
      <w:r>
        <w:rPr>
          <w:rStyle w:val="VerbatimChar"/>
        </w:rPr>
        <w:t xml:space="preserve">add-records-message</w:t>
      </w:r>
      <w:r>
        <w:t xml:space="preserve"> </w:t>
      </w:r>
      <w:r>
        <w:t xml:space="preserve">command’s payload</w:t>
      </w:r>
      <w:r>
        <w:t xml:space="preserve"> </w:t>
      </w:r>
      <w:r>
        <w:t xml:space="preserve">uses</w:t>
      </w:r>
      <w:r>
        <w:t xml:space="preserve"> </w:t>
      </w:r>
      <w:r>
        <w:rPr>
          <w:rStyle w:val="VerbatimChar"/>
        </w:rPr>
        <w:t xml:space="preserve">requestMessageBody</w:t>
      </w:r>
      <w:r>
        <w:t xml:space="preserve">, for example “Synthetic</w:t>
      </w:r>
      <w:r>
        <w:t xml:space="preserve"> </w:t>
      </w:r>
      <w:r>
        <w:t xml:space="preserve">clarification received.” Inspect the retained message/timeline and</w:t>
      </w:r>
      <w:r>
        <w:t xml:space="preserve"> </w:t>
      </w:r>
      <w:r>
        <w:t xml:space="preserve">intended audience before repeating the action. A persisted staff message</w:t>
      </w:r>
      <w:r>
        <w:t xml:space="preserve"> </w:t>
      </w:r>
      <w:r>
        <w:t xml:space="preserve">or locally queued notification does not prove an email reached a</w:t>
      </w:r>
      <w:r>
        <w:t xml:space="preserve"> </w:t>
      </w:r>
      <w:r>
        <w:t xml:space="preserve">requester. For a clarification requiring a response, retain the</w:t>
      </w:r>
      <w:r>
        <w:t xml:space="preserve"> </w:t>
      </w:r>
      <w:r>
        <w:t xml:space="preserve">clarification note and keep the request’s actual status distinct from</w:t>
      </w:r>
      <w:r>
        <w:t xml:space="preserve"> </w:t>
      </w:r>
      <w:r>
        <w:t xml:space="preserve">completion.</w:t>
      </w:r>
    </w:p>
    <w:bookmarkEnd w:id="41"/>
    <w:bookmarkStart w:id="42" w:name="X950cc1dac1b4e51bbf9fdce43224b2c25fb5c67"/>
    <w:p>
      <w:pPr>
        <w:pStyle w:val="Heading3"/>
      </w:pPr>
      <w:r>
        <w:t xml:space="preserve">Configure templates</w:t>
      </w:r>
      <w:r>
        <w:t xml:space="preserve"> </w:t>
      </w:r>
      <w:r>
        <w:t xml:space="preserve">and inspect the outbox</w:t>
      </w:r>
    </w:p>
    <w:p>
      <w:pPr>
        <w:pStyle w:val="FirstParagraph"/>
      </w:pPr>
      <w:r>
        <w:t xml:space="preserve">Administrators use the existing</w:t>
      </w:r>
      <w:r>
        <w:t xml:space="preserve"> </w:t>
      </w:r>
      <w:r>
        <w:rPr>
          <w:rStyle w:val="VerbatimChar"/>
        </w:rPr>
        <w:t xml:space="preserve">/notifications/templates</w:t>
      </w:r>
      <w:r>
        <w:t xml:space="preserve"> </w:t>
      </w:r>
      <w:r>
        <w:t xml:space="preserve">create/list/update API under the application’s real authenticated</w:t>
      </w:r>
      <w:r>
        <w:t xml:space="preserve"> </w:t>
      </w:r>
      <w:r>
        <w:t xml:space="preserve">authority. A template supplies</w:t>
      </w:r>
      <w:r>
        <w:t xml:space="preserve"> </w:t>
      </w:r>
      <w:r>
        <w:rPr>
          <w:rStyle w:val="VerbatimChar"/>
        </w:rPr>
        <w:t xml:space="preserve">event_type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channel</w:t>
      </w:r>
      <w:r>
        <w:t xml:space="preserve"> </w:t>
      </w:r>
      <w:r>
        <w:t xml:space="preserve">(default</w:t>
      </w:r>
      <w:r>
        <w:t xml:space="preserve"> </w:t>
      </w:r>
      <w:r>
        <w:rPr>
          <w:rStyle w:val="VerbatimChar"/>
        </w:rPr>
        <w:t xml:space="preserve">email</w:t>
      </w:r>
      <w:r>
        <w:t xml:space="preserve">),</w:t>
      </w:r>
      <w:r>
        <w:t xml:space="preserve"> </w:t>
      </w:r>
      <w:r>
        <w:rPr>
          <w:rStyle w:val="VerbatimChar"/>
        </w:rPr>
        <w:t xml:space="preserve">subject_template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body_template</w:t>
      </w:r>
      <w:r>
        <w:t xml:space="preserve">. Use the</w:t>
      </w:r>
      <w:r>
        <w:t xml:space="preserve"> </w:t>
      </w:r>
      <w:r>
        <w:t xml:space="preserve">event name actually produced by the selected workflow and the variables</w:t>
      </w:r>
      <w:r>
        <w:t xml:space="preserve"> </w:t>
      </w:r>
      <w:r>
        <w:t xml:space="preserve">it supplies; template existence alone does not cause that event to be</w:t>
      </w:r>
      <w:r>
        <w:t xml:space="preserve"> </w:t>
      </w:r>
      <w:r>
        <w:t xml:space="preserve">emitted. Staff inspect</w:t>
      </w:r>
      <w:r>
        <w:t xml:space="preserve"> </w:t>
      </w:r>
      <w:r>
        <w:rPr>
          <w:rStyle w:val="VerbatimChar"/>
        </w:rPr>
        <w:t xml:space="preserve">/notifications/log</w:t>
      </w:r>
      <w:r>
        <w:t xml:space="preserve"> </w:t>
      </w:r>
      <w:r>
        <w:t xml:space="preserve">for recipient,</w:t>
      </w:r>
      <w:r>
        <w:t xml:space="preserve"> </w:t>
      </w:r>
      <w:r>
        <w:t xml:space="preserve">rendered content, status and error information.</w:t>
      </w:r>
    </w:p>
    <w:p>
      <w:pPr>
        <w:pStyle w:val="BodyText"/>
      </w:pPr>
      <w:r>
        <w:t xml:space="preserve">The existing delivery function is</w:t>
      </w:r>
      <w:r>
        <w:t xml:space="preserve"> </w:t>
      </w:r>
      <w:r>
        <w:rPr>
          <w:rStyle w:val="VerbatimChar"/>
        </w:rPr>
        <w:t xml:space="preserve">app.notifications.smtp_delivery.deliver_queued_notifications(session)</w:t>
      </w:r>
      <w:r>
        <w:t xml:space="preserve">.</w:t>
      </w:r>
      <w:r>
        <w:t xml:space="preserve"> </w:t>
      </w:r>
      <w:r>
        <w:t xml:space="preserve">A technical operator invokes it only in the matching configured</w:t>
      </w:r>
      <w:r>
        <w:t xml:space="preserve"> </w:t>
      </w:r>
      <w:r>
        <w:t xml:space="preserve">application environment, with an application-owned async session. It</w:t>
      </w:r>
      <w:r>
        <w:t xml:space="preserve"> </w:t>
      </w:r>
      <w:r>
        <w:t xml:space="preserve">processes</w:t>
      </w:r>
      <w:r>
        <w:t xml:space="preserve"> </w:t>
      </w:r>
      <w:r>
        <w:rPr>
          <w:b/>
          <w:bCs/>
        </w:rPr>
        <w:t xml:space="preserve">queued email</w:t>
      </w:r>
      <w:r>
        <w:t xml:space="preserve"> </w:t>
      </w:r>
      <w:r>
        <w:t xml:space="preserve">entries, commits</w:t>
      </w:r>
      <w:r>
        <w:t xml:space="preserve"> </w:t>
      </w:r>
      <w:r>
        <w:rPr>
          <w:rStyle w:val="VerbatimChar"/>
        </w:rPr>
        <w:t xml:space="preserve">sent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 </w:t>
      </w:r>
      <w:r>
        <w:t xml:space="preserve">status, and returns counts.</w:t>
      </w:r>
      <w:r>
        <w:t xml:space="preserve"> </w:t>
      </w:r>
      <w:r>
        <w:t xml:space="preserve">Missing SMTP configuration returns</w:t>
      </w:r>
      <w:r>
        <w:t xml:space="preserve"> </w:t>
      </w:r>
      <w:r>
        <w:rPr>
          <w:rStyle w:val="VerbatimChar"/>
        </w:rPr>
        <w:t xml:space="preserve">reason: smtp_not_configured</w:t>
      </w:r>
      <w:r>
        <w:t xml:space="preserve">. Missing rendered subject/body</w:t>
      </w:r>
      <w:r>
        <w:t xml:space="preserve"> </w:t>
      </w:r>
      <w:r>
        <w:t xml:space="preserve">or recipient is a failure, not delivery.</w:t>
      </w:r>
    </w:p>
    <w:p>
      <w:pPr>
        <w:pStyle w:val="BodyText"/>
      </w:pPr>
      <w:r>
        <w:t xml:space="preserve">SMTP settings are</w:t>
      </w:r>
      <w:r>
        <w:t xml:space="preserve"> </w:t>
      </w:r>
      <w:r>
        <w:rPr>
          <w:rStyle w:val="VerbatimChar"/>
        </w:rPr>
        <w:t xml:space="preserve">SMTP_HOST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SMTP_PORT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SMTP_USERNAME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SMTP_PASSWORD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SMTP_FROM_EMAIL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SMTP_USE_TLS</w:t>
      </w:r>
      <w:r>
        <w:t xml:space="preserve">. Keep secrets</w:t>
      </w:r>
      <w:r>
        <w:t xml:space="preserve"> </w:t>
      </w:r>
      <w:r>
        <w:t xml:space="preserve">in protected process configuration. Inspect the actual setting</w:t>
      </w:r>
      <w:r>
        <w:t xml:space="preserve"> </w:t>
      </w:r>
      <w:r>
        <w:t xml:space="preserve">names/defaults in that reference before selecting a mail server. This</w:t>
      </w:r>
      <w:r>
        <w:t xml:space="preserve"> </w:t>
      </w:r>
      <w:r>
        <w:t xml:space="preserve">beta has no automatic failed-entry retry or native “Retry email” button:</w:t>
      </w:r>
      <w:r>
        <w:t xml:space="preserve"> </w:t>
      </w:r>
      <w:r>
        <w:t xml:space="preserve">failed rows are not selected by the queued-only delivery loop. Preserve</w:t>
      </w:r>
      <w:r>
        <w:t xml:space="preserve"> </w:t>
      </w:r>
      <w:r>
        <w:t xml:space="preserve">errors and resolve the cause through the owning deployment’s supported</w:t>
      </w:r>
      <w:r>
        <w:t xml:space="preserve"> </w:t>
      </w:r>
      <w:r>
        <w:t xml:space="preserve">process; do not invent a retry or reset database rows by hand. The</w:t>
      </w:r>
      <w:r>
        <w:t xml:space="preserve"> </w:t>
      </w:r>
      <w:r>
        <w:t xml:space="preserve">native notification “sent” acknowledgement is not an SMTP transmission</w:t>
      </w:r>
      <w:r>
        <w:t xml:space="preserve"> </w:t>
      </w:r>
      <w:r>
        <w:t xml:space="preserve">receipt. External mail remains a separately selected deployment</w:t>
      </w:r>
      <w:r>
        <w:t xml:space="preserve"> </w:t>
      </w:r>
      <w:r>
        <w:t xml:space="preserve">configuration, not a requirement to send email during synthetic</w:t>
      </w:r>
      <w:r>
        <w:t xml:space="preserve"> </w:t>
      </w:r>
      <w:r>
        <w:t xml:space="preserve">development.</w:t>
      </w:r>
    </w:p>
    <w:bookmarkEnd w:id="42"/>
    <w:bookmarkStart w:id="44" w:name="X13ca1f09f0bb4eabec9d13d9fcfdb8b1f1c2489"/>
    <w:p>
      <w:pPr>
        <w:pStyle w:val="Heading3"/>
      </w:pPr>
      <w:r>
        <w:t xml:space="preserve">Exercise</w:t>
      </w:r>
      <w:r>
        <w:t xml:space="preserve"> </w:t>
      </w:r>
      <w:r>
        <w:t xml:space="preserve">existing local public intake and tracking</w:t>
      </w:r>
    </w:p>
    <w:p>
      <w:pPr>
        <w:pStyle w:val="FirstParagraph"/>
      </w:pPr>
      <w:r>
        <w:t xml:space="preserve">This is the existing local contract, not a new internet portal</w:t>
      </w:r>
      <w:r>
        <w:t xml:space="preserve"> </w:t>
      </w:r>
      <w:r>
        <w:t xml:space="preserve">deployment. Under the application’s configured portal posture, a</w:t>
      </w:r>
      <w:r>
        <w:t xml:space="preserve"> </w:t>
      </w:r>
      <w:r>
        <w:t xml:space="preserve">synthetic client can submit</w:t>
      </w:r>
      <w:r>
        <w:t xml:space="preserve"> </w:t>
      </w:r>
      <w:r>
        <w:rPr>
          <w:rStyle w:val="VerbatimChar"/>
        </w:rPr>
        <w:t xml:space="preserve">POST /desktop/v1/public/requests</w:t>
      </w:r>
      <w:r>
        <w:t xml:space="preserve"> </w:t>
      </w:r>
      <w:r>
        <w:t xml:space="preserve">with:</w:t>
      </w:r>
    </w:p>
    <w:bookmarkStart w:id="43" w:name="cb3"/>
    <w:p>
      <w:pPr>
        <w:pStyle w:val="SourceCode"/>
      </w:pPr>
      <w:r>
        <w:rPr>
          <w:rStyle w:val="FunctionTok"/>
        </w:rPr>
        <w:t xml:space="preserve">{</w:t>
      </w:r>
      <w:r>
        <w:rPr>
          <w:rStyle w:val="DataTypeTok"/>
        </w:rPr>
        <w:t xml:space="preserve">"requester"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"Synthetic resident"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"requesterContact"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"synthetic@example.invalid"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"summary"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"Synthetic minutes request"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"deadline"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}</w:t>
      </w:r>
    </w:p>
    <w:bookmarkEnd w:id="43"/>
    <w:p>
      <w:pPr>
        <w:pStyle w:val="FirstParagraph"/>
      </w:pPr>
      <w:r>
        <w:t xml:space="preserve">Retain the returned tracking information privately.</w:t>
      </w:r>
      <w:r>
        <w:t xml:space="preserve"> </w:t>
      </w:r>
      <w:r>
        <w:rPr>
          <w:rStyle w:val="VerbatimChar"/>
        </w:rPr>
        <w:t xml:space="preserve">POST /desktop/v1/public/lookup</w:t>
      </w:r>
      <w:r>
        <w:t xml:space="preserve"> </w:t>
      </w:r>
      <w:r>
        <w:t xml:space="preserve">requires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rPr>
          <w:rStyle w:val="VerbatimChar"/>
        </w:rPr>
        <w:t xml:space="preserve">trackingNumber</w:t>
      </w:r>
      <w:r>
        <w:t xml:space="preserve"> </w:t>
      </w:r>
      <w:r>
        <w:t xml:space="preserve">and matching</w:t>
      </w:r>
      <w:r>
        <w:t xml:space="preserve"> </w:t>
      </w:r>
      <w:r>
        <w:rPr>
          <w:rStyle w:val="VerbatimChar"/>
        </w:rPr>
        <w:t xml:space="preserve">requesterContact</w:t>
      </w:r>
      <w:r>
        <w:t xml:space="preserve">; it returns the permitted public status</w:t>
      </w:r>
      <w:r>
        <w:t xml:space="preserve"> </w:t>
      </w:r>
      <w:r>
        <w:t xml:space="preserve">rather than staff notes.</w:t>
      </w:r>
      <w:r>
        <w:t xml:space="preserve"> </w:t>
      </w:r>
      <w:r>
        <w:rPr>
          <w:rStyle w:val="VerbatimChar"/>
        </w:rPr>
        <w:t xml:space="preserve">/desktop/v1/public/messages</w:t>
      </w:r>
      <w:r>
        <w:t xml:space="preserve"> </w:t>
      </w:r>
      <w:r>
        <w:t xml:space="preserve">additionally requires</w:t>
      </w:r>
      <w:r>
        <w:t xml:space="preserve"> </w:t>
      </w:r>
      <w:r>
        <w:rPr>
          <w:rStyle w:val="VerbatimChar"/>
        </w:rPr>
        <w:t xml:space="preserve">publicRequestMessage</w:t>
      </w:r>
      <w:r>
        <w:t xml:space="preserve">. Read the</w:t>
      </w:r>
      <w:r>
        <w:t xml:space="preserve"> </w:t>
      </w:r>
      <w:r>
        <w:t xml:space="preserve">status/response detail and treat a portal-mode or identity refusal as a</w:t>
      </w:r>
      <w:r>
        <w:t xml:space="preserve"> </w:t>
      </w:r>
      <w:r>
        <w:t xml:space="preserve">refusal. Do not remove that gate, expose tracking/contact values in logs</w:t>
      </w:r>
      <w:r>
        <w:t xml:space="preserve"> </w:t>
      </w:r>
      <w:r>
        <w:t xml:space="preserve">or assume that changing</w:t>
      </w:r>
      <w:r>
        <w:t xml:space="preserve"> </w:t>
      </w:r>
      <w:r>
        <w:rPr>
          <w:rStyle w:val="VerbatimChar"/>
        </w:rPr>
        <w:t xml:space="preserve">PORTAL_MODE</w:t>
      </w:r>
      <w:r>
        <w:t xml:space="preserve"> </w:t>
      </w:r>
      <w:r>
        <w:t xml:space="preserve">commissions a public</w:t>
      </w:r>
      <w:r>
        <w:t xml:space="preserve"> </w:t>
      </w:r>
      <w:r>
        <w:t xml:space="preserve">website. Named staff still use their own authenticated workspace.</w:t>
      </w:r>
    </w:p>
    <w:p>
      <w:pPr>
        <w:pStyle w:val="BodyText"/>
      </w:pPr>
      <w:r>
        <w:t xml:space="preserve">Source contracts:</w:t>
      </w:r>
      <w:r>
        <w:t xml:space="preserve"> </w:t>
      </w:r>
      <w:r>
        <w:rPr>
          <w:rStyle w:val="VerbatimChar"/>
        </w:rPr>
        <w:t xml:space="preserve">app/desktop_bridge/schemas.py</w:t>
      </w:r>
      <w:r>
        <w:t xml:space="preserve">,</w:t>
      </w:r>
      <w:r>
        <w:t xml:space="preserve"> </w:t>
      </w:r>
      <w:r>
        <w:rPr>
          <w:rStyle w:val="VerbatimChar"/>
        </w:rPr>
        <w:t xml:space="preserve">app/requests/workflow.py</w:t>
      </w:r>
      <w:r>
        <w:t xml:space="preserve">, notification service/router/SMTP</w:t>
      </w:r>
      <w:r>
        <w:t xml:space="preserve"> </w:t>
      </w:r>
      <w:r>
        <w:t xml:space="preserve">delivery, and the public desktop bridge routes. Full outer command</w:t>
      </w:r>
      <w:r>
        <w:t xml:space="preserve"> </w:t>
      </w:r>
      <w:r>
        <w:t xml:space="preserve">shapes and endpoint authentication remain in the Records API</w:t>
      </w:r>
      <w:r>
        <w:t xml:space="preserve"> </w:t>
      </w:r>
      <w:r>
        <w:t xml:space="preserve">reference.</w:t>
      </w:r>
    </w:p>
    <w:bookmarkEnd w:id="44"/>
    <w:bookmarkEnd w:id="45"/>
    <w:bookmarkStart w:id="51" w:name="technical-specifications"/>
    <w:p>
      <w:pPr>
        <w:pStyle w:val="Heading2"/>
      </w:pPr>
      <w:r>
        <w:t xml:space="preserve">Technical specifications</w:t>
      </w:r>
    </w:p>
    <w:bookmarkStart w:id="46" w:name="runtime-and-storage"/>
    <w:p>
      <w:pPr>
        <w:pStyle w:val="Heading3"/>
      </w:pPr>
      <w:r>
        <w:t xml:space="preserve">Runtime and storage</w:t>
      </w:r>
    </w:p>
    <w:p>
      <w:pPr>
        <w:pStyle w:val="FirstParagraph"/>
      </w:pPr>
      <w:r>
        <w:t xml:space="preserve">The accepted package targets</w:t>
      </w:r>
      <w:r>
        <w:t xml:space="preserve"> </w:t>
      </w:r>
      <w:r>
        <w:rPr>
          <w:b/>
          <w:bCs/>
        </w:rPr>
        <w:t xml:space="preserve">Windows x64 fresh</w:t>
      </w:r>
      <w:r>
        <w:rPr>
          <w:b/>
          <w:bCs/>
        </w:rPr>
        <w:t xml:space="preserve"> </w:t>
      </w:r>
      <w:r>
        <w:rPr>
          <w:b/>
          <w:bCs/>
        </w:rPr>
        <w:t xml:space="preserve">installation</w:t>
      </w:r>
      <w:r>
        <w:t xml:space="preserve">. Its native shell uses</w:t>
      </w:r>
      <w:r>
        <w:t xml:space="preserve"> </w:t>
      </w:r>
      <w:r>
        <w:rPr>
          <w:b/>
          <w:bCs/>
        </w:rPr>
        <w:t xml:space="preserve">Rust 2021, Tauri 2</w:t>
      </w:r>
      <w:r>
        <w:rPr>
          <w:b/>
          <w:bCs/>
        </w:rPr>
        <w:t xml:space="preserve"> </w:t>
      </w:r>
      <w:r>
        <w:rPr>
          <w:b/>
          <w:bCs/>
        </w:rPr>
        <w:t xml:space="preserve">and Microsoft WebView2</w:t>
      </w:r>
      <w:r>
        <w:t xml:space="preserve">; browser assets are JavaScript built</w:t>
      </w:r>
      <w:r>
        <w:t xml:space="preserve"> </w:t>
      </w:r>
      <w:r>
        <w:t xml:space="preserve">with</w:t>
      </w:r>
      <w:r>
        <w:t xml:space="preserve"> </w:t>
      </w:r>
      <w:r>
        <w:rPr>
          <w:b/>
          <w:bCs/>
        </w:rPr>
        <w:t xml:space="preserve">Vite 8.1.6</w:t>
      </w:r>
      <w:r>
        <w:t xml:space="preserve">. This describes the native desktop</w:t>
      </w:r>
      <w:r>
        <w:t xml:space="preserve"> </w:t>
      </w:r>
      <w:r>
        <w:t xml:space="preserve">frontend; Station has a separate React operator, specified below or in</w:t>
      </w:r>
      <w:r>
        <w:t xml:space="preserve"> </w:t>
      </w:r>
      <w:r>
        <w:t xml:space="preserve">its product manual. Canonical business workflows use bundled</w:t>
      </w:r>
      <w:r>
        <w:t xml:space="preserve"> </w:t>
      </w:r>
      <w:r>
        <w:rPr>
          <w:b/>
          <w:bCs/>
        </w:rPr>
        <w:t xml:space="preserve">CPython 3.13.5, FastAPI, Pydantic, SQLAlchemy and</w:t>
      </w:r>
      <w:r>
        <w:rPr>
          <w:b/>
          <w:bCs/>
        </w:rPr>
        <w:t xml:space="preserve"> </w:t>
      </w:r>
      <w:r>
        <w:rPr>
          <w:b/>
          <w:bCs/>
        </w:rPr>
        <w:t xml:space="preserve">Alembic</w:t>
      </w:r>
      <w:r>
        <w:t xml:space="preserve">, with</w:t>
      </w:r>
      <w:r>
        <w:t xml:space="preserve"> </w:t>
      </w:r>
      <w:r>
        <w:rPr>
          <w:b/>
          <w:bCs/>
        </w:rPr>
        <w:t xml:space="preserve">PostgreSQL 17 / PostGIS</w:t>
      </w:r>
      <w:r>
        <w:t xml:space="preserve"> </w:t>
      </w:r>
      <w:r>
        <w:t xml:space="preserve">and</w:t>
      </w:r>
      <w:r>
        <w:t xml:space="preserve"> </w:t>
      </w:r>
      <w:r>
        <w:t xml:space="preserve">managed original files. The installed runtime tested here contains</w:t>
      </w:r>
      <w:r>
        <w:t xml:space="preserve"> </w:t>
      </w:r>
      <w:r>
        <w:t xml:space="preserve">FastAPI 0.162.0. Package minimum Python requirements can differ from the</w:t>
      </w:r>
      <w:r>
        <w:t xml:space="preserve"> </w:t>
      </w:r>
      <w:r>
        <w:t xml:space="preserve">bundled executable; the metadata reference preserves both. No stack</w:t>
      </w:r>
      <w:r>
        <w:t xml:space="preserve"> </w:t>
      </w:r>
      <w:r>
        <w:t xml:space="preserve">rewrite is implied by the beta label.</w:t>
      </w:r>
    </w:p>
    <w:p>
      <w:pPr>
        <w:pStyle w:val="BodyText"/>
      </w:pPr>
      <w:r>
        <w:t xml:space="preserve">The native transport is fixed to loopback</w:t>
      </w:r>
      <w:r>
        <w:t xml:space="preserve"> </w:t>
      </w:r>
      <w:r>
        <w:rPr>
          <w:rStyle w:val="VerbatimChar"/>
        </w:rPr>
        <w:t xml:space="preserve">127.0.0.1:15480</w:t>
      </w:r>
      <w:r>
        <w:t xml:space="preserve">; PostgreSQL uses the configured local</w:t>
      </w:r>
      <w:r>
        <w:t xml:space="preserve"> </w:t>
      </w:r>
      <w:r>
        <w:t xml:space="preserve">runtime port (default</w:t>
      </w:r>
      <w:r>
        <w:t xml:space="preserve"> </w:t>
      </w:r>
      <w:r>
        <w:rPr>
          <w:rStyle w:val="VerbatimChar"/>
        </w:rPr>
        <w:t xml:space="preserve">15432</w:t>
      </w:r>
      <w:r>
        <w:t xml:space="preserve">). Optional local model service</w:t>
      </w:r>
      <w:r>
        <w:t xml:space="preserve"> </w:t>
      </w:r>
      <w:r>
        <w:t xml:space="preserve">defaults to</w:t>
      </w:r>
      <w:r>
        <w:t xml:space="preserve"> </w:t>
      </w:r>
      <w:r>
        <w:rPr>
          <w:rStyle w:val="VerbatimChar"/>
        </w:rPr>
        <w:t xml:space="preserve">127.0.0.1:15434</w:t>
      </w:r>
      <w:r>
        <w:t xml:space="preserve">. Those are deployment defaults,</w:t>
      </w:r>
      <w:r>
        <w:t xml:space="preserve"> </w:t>
      </w:r>
      <w:r>
        <w:t xml:space="preserve">not internet endpoints. The runtime has health, module and readiness</w:t>
      </w:r>
      <w:r>
        <w:t xml:space="preserve"> </w:t>
      </w:r>
      <w:r>
        <w:t xml:space="preserve">endpoints; readiness is stronger than process existence. The task queue</w:t>
      </w:r>
      <w:r>
        <w:t xml:space="preserve"> </w:t>
      </w:r>
      <w:r>
        <w:t xml:space="preserve">is the existing local Core task infrastructure, not an assertion that a</w:t>
      </w:r>
      <w:r>
        <w:t xml:space="preserve"> </w:t>
      </w:r>
      <w:r>
        <w:t xml:space="preserve">separate Redis service is required for this desktop composition.</w:t>
      </w:r>
    </w:p>
    <w:p>
      <w:pPr>
        <w:pStyle w:val="BodyText"/>
      </w:pPr>
      <w:r>
        <w:t xml:space="preserve">The default native profile is</w:t>
      </w:r>
      <w:r>
        <w:t xml:space="preserve"> </w:t>
      </w:r>
      <w:r>
        <w:rPr>
          <w:rStyle w:val="VerbatimChar"/>
        </w:rPr>
        <w:t xml:space="preserve">%LOCALAPPDATA%\CivicSuite</w:t>
      </w:r>
      <w:r>
        <w:t xml:space="preserve">;</w:t>
      </w:r>
      <w:r>
        <w:t xml:space="preserve"> </w:t>
      </w:r>
      <w:r>
        <w:t xml:space="preserve">the historical directory name remains part of compatibility. Do not</w:t>
      </w:r>
      <w:r>
        <w:t xml:space="preserve"> </w:t>
      </w:r>
      <w:r>
        <w:t xml:space="preserve">rename it to Townlight. A configured</w:t>
      </w:r>
      <w:r>
        <w:t xml:space="preserve"> </w:t>
      </w:r>
      <w:r>
        <w:rPr>
          <w:rStyle w:val="VerbatimChar"/>
        </w:rPr>
        <w:t xml:space="preserve">TOWNLIGHT_PROFILE_ROOT</w:t>
      </w:r>
      <w:r>
        <w:t xml:space="preserve"> </w:t>
      </w:r>
      <w:r>
        <w:t xml:space="preserve">must be absolute. Local configuration and secrets live under that</w:t>
      </w:r>
      <w:r>
        <w:t xml:space="preserve"> </w:t>
      </w:r>
      <w:r>
        <w:t xml:space="preserve">profile; protected managed files and database state must be backed up</w:t>
      </w:r>
      <w:r>
        <w:t xml:space="preserve"> </w:t>
      </w:r>
      <w:r>
        <w:t xml:space="preserve">coherently. Source/runtime identity is distinct from a product’s display</w:t>
      </w:r>
      <w:r>
        <w:t xml:space="preserve"> </w:t>
      </w:r>
      <w:r>
        <w:t xml:space="preserve">label.</w:t>
      </w:r>
    </w:p>
    <w:bookmarkEnd w:id="46"/>
    <w:bookmarkStart w:id="47" w:name="data-and-consistency"/>
    <w:p>
      <w:pPr>
        <w:pStyle w:val="Heading3"/>
      </w:pPr>
      <w:r>
        <w:t xml:space="preserve">Data and consistency</w:t>
      </w:r>
    </w:p>
    <w:p>
      <w:pPr>
        <w:pStyle w:val="FirstParagraph"/>
      </w:pPr>
      <w:r>
        <w:t xml:space="preserve">Requests; assignments and deadlines; search sessions; evidence</w:t>
      </w:r>
      <w:r>
        <w:t xml:space="preserve"> </w:t>
      </w:r>
      <w:r>
        <w:t xml:space="preserve">attachments and original hashes; release copies; exemption decisions;</w:t>
      </w:r>
      <w:r>
        <w:t xml:space="preserve"> </w:t>
      </w:r>
      <w:r>
        <w:t xml:space="preserve">messages; fee line items; response approvals; export artifacts and audit</w:t>
      </w:r>
      <w:r>
        <w:t xml:space="preserve"> </w:t>
      </w:r>
      <w:r>
        <w:t xml:space="preserve">events.</w:t>
      </w:r>
    </w:p>
    <w:p>
      <w:pPr>
        <w:pStyle w:val="BodyText"/>
      </w:pPr>
      <w:r>
        <w:t xml:space="preserve">Versioned saves use expected prior revision identifiers where</w:t>
      </w:r>
      <w:r>
        <w:t xml:space="preserve"> </w:t>
      </w:r>
      <w:r>
        <w:t xml:space="preserve">defined. Reopen and reconcile on conflict. Exact exports and handoffs</w:t>
      </w:r>
      <w:r>
        <w:t xml:space="preserve"> </w:t>
      </w:r>
      <w:r>
        <w:t xml:space="preserve">use source IDs, current visibility, revision and SHA256. Review belongs</w:t>
      </w:r>
      <w:r>
        <w:t xml:space="preserve"> </w:t>
      </w:r>
      <w:r>
        <w:t xml:space="preserve">to the saved revision and does not transfer silently to edited text.</w:t>
      </w:r>
      <w:r>
        <w:t xml:space="preserve"> </w:t>
      </w:r>
      <w:r>
        <w:t xml:space="preserve">Database changes use the owning product’s migrations; a request or</w:t>
      </w:r>
      <w:r>
        <w:t xml:space="preserve"> </w:t>
      </w:r>
      <w:r>
        <w:t xml:space="preserve">readiness check is not an authorization to mutate schema.</w:t>
      </w:r>
    </w:p>
    <w:bookmarkEnd w:id="47"/>
    <w:bookmarkStart w:id="50" w:name="capacity-and-platform-statements"/>
    <w:p>
      <w:pPr>
        <w:pStyle w:val="Heading3"/>
      </w:pPr>
      <w:r>
        <w:t xml:space="preserve">Capacity and platform</w:t>
      </w:r>
      <w:r>
        <w:t xml:space="preserve"> </w:t>
      </w:r>
      <w:r>
        <w:t xml:space="preserve">statements</w:t>
      </w:r>
    </w:p>
    <w:p>
      <w:pPr>
        <w:pStyle w:val="FirstParagraph"/>
      </w:pPr>
      <w:r>
        <w:t xml:space="preserve">This beta has synthetic single-profile workflow evidence. It does not</w:t>
      </w:r>
      <w:r>
        <w:t xml:space="preserve"> </w:t>
      </w:r>
      <w:r>
        <w:t xml:space="preserve">have a published benchmark for concurrent staff capacity, minimum</w:t>
      </w:r>
      <w:r>
        <w:t xml:space="preserve"> </w:t>
      </w:r>
      <w:r>
        <w:t xml:space="preserve">RAM/CPU, large-source limits or a field SLA. Do not turn a developer</w:t>
      </w:r>
      <w:r>
        <w:t xml:space="preserve"> </w:t>
      </w:r>
      <w:r>
        <w:t xml:space="preserve">machine’s specification into a supported minimum. The signed MSI is 2,082,697,216 bytes; allow additional disk for extracted runtime,</w:t>
      </w:r>
      <w:r>
        <w:t xml:space="preserve"> </w:t>
      </w:r>
      <w:r>
        <w:t xml:space="preserve">database, originals, exports, media and backups. Select</w:t>
      </w:r>
      <w:r>
        <w:t xml:space="preserve"> </w:t>
      </w:r>
      <w:r>
        <w:t xml:space="preserve">equipment/storage after sizing those actual workloads.</w:t>
      </w:r>
    </w:p>
    <w:p>
      <w:pPr>
        <w:pStyle w:val="BodyText"/>
      </w:pPr>
      <w:r>
        <w:t xml:space="preserve">The exact</w:t>
      </w:r>
      <w:r>
        <w:t xml:space="preserve"> </w:t>
      </w:r>
      <w:hyperlink r:id="rId48">
        <w:r>
          <w:rPr>
            <w:rStyle w:val="Hyperlink"/>
          </w:rPr>
          <w:t xml:space="preserve">runtime payload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lock</w:t>
        </w:r>
      </w:hyperlink>
      <w:r>
        <w:t xml:space="preserve"> </w:t>
      </w:r>
      <w:r>
        <w:t xml:space="preserve">records pinned files, sizes and hashes. The</w:t>
      </w:r>
      <w:r>
        <w:t xml:space="preserve"> </w:t>
      </w:r>
      <w:hyperlink r:id="rId49">
        <w:r>
          <w:rPr>
            <w:rStyle w:val="Hyperlink"/>
          </w:rPr>
          <w:t xml:space="preserve">component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records shipped dependency declarations. These references</w:t>
      </w:r>
      <w:r>
        <w:t xml:space="preserve"> </w:t>
      </w:r>
      <w:r>
        <w:t xml:space="preserve">are more precise than a manually copied dependency list. Third-party and</w:t>
      </w:r>
      <w:r>
        <w:t xml:space="preserve"> </w:t>
      </w:r>
      <w:r>
        <w:t xml:space="preserve">historical license notices must accompany their matching payloads.</w:t>
      </w:r>
    </w:p>
    <w:bookmarkEnd w:id="50"/>
    <w:bookmarkEnd w:id="51"/>
    <w:bookmarkStart w:id="54" w:name="configuration-and-administration"/>
    <w:p>
      <w:pPr>
        <w:pStyle w:val="Heading2"/>
      </w:pPr>
      <w:r>
        <w:t xml:space="preserve">Configuration and</w:t>
      </w:r>
      <w:r>
        <w:t xml:space="preserve"> </w:t>
      </w:r>
      <w:r>
        <w:t xml:space="preserve">administration</w:t>
      </w:r>
    </w:p>
    <w:bookmarkStart w:id="52" w:name="native-deployment-configuration"/>
    <w:p>
      <w:pPr>
        <w:pStyle w:val="Heading3"/>
      </w:pPr>
      <w:r>
        <w:t xml:space="preserve">Native deployment</w:t>
      </w:r>
      <w:r>
        <w:t xml:space="preserve"> </w:t>
      </w:r>
      <w:r>
        <w:t xml:space="preserve">configuration</w:t>
      </w:r>
    </w:p>
    <w:p>
      <w:pPr>
        <w:pStyle w:val="FirstParagraph"/>
      </w:pPr>
      <w:r>
        <w:t xml:space="preserve">Use Setup, Settings and System Health for supported staff operation.</w:t>
      </w:r>
      <w:r>
        <w:t xml:space="preserve"> </w:t>
      </w:r>
      <w:r>
        <w:t xml:space="preserve">Administrators provision folders, backup storage, named accounts and the</w:t>
      </w:r>
      <w:r>
        <w:t xml:space="preserve"> </w:t>
      </w:r>
      <w:r>
        <w:t xml:space="preserve">city profile. Select</w:t>
      </w:r>
      <w:r>
        <w:t xml:space="preserve"> </w:t>
      </w:r>
      <w:r>
        <w:rPr>
          <w:rStyle w:val="VerbatimChar"/>
        </w:rPr>
        <w:t xml:space="preserve">inspections-preview</w:t>
      </w:r>
      <w:r>
        <w:t xml:space="preserve"> </w:t>
      </w:r>
      <w:r>
        <w:t xml:space="preserve">for the bounded</w:t>
      </w:r>
      <w:r>
        <w:t xml:space="preserve"> </w:t>
      </w:r>
      <w:r>
        <w:t xml:space="preserve">desktop composition, including Access and Notice. Station remains a</w:t>
      </w:r>
      <w:r>
        <w:t xml:space="preserve"> </w:t>
      </w:r>
      <w:r>
        <w:t xml:space="preserve">separate service boundary. Do not use a standalone product’s demo server</w:t>
      </w:r>
      <w:r>
        <w:t xml:space="preserve"> </w:t>
      </w:r>
      <w:r>
        <w:t xml:space="preserve">as a substitute for the installed workspace.</w:t>
      </w:r>
    </w:p>
    <w:p>
      <w:pPr>
        <w:pStyle w:val="BodyText"/>
      </w:pPr>
      <w:r>
        <w:t xml:space="preserve">Technical deployments use</w:t>
      </w:r>
      <w:r>
        <w:t xml:space="preserve"> </w:t>
      </w:r>
      <w:r>
        <w:rPr>
          <w:rStyle w:val="VerbatimChar"/>
        </w:rPr>
        <w:t xml:space="preserve">TOWNLIGHT_PRODUCT_PROFILE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TOWNLIGHT_PROFILE_ROOT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DATABASE_URL</w:t>
      </w:r>
      <w:r>
        <w:t xml:space="preserve">,</w:t>
      </w:r>
      <w:r>
        <w:t xml:space="preserve"> </w:t>
      </w:r>
      <w:r>
        <w:rPr>
          <w:rStyle w:val="VerbatimChar"/>
        </w:rPr>
        <w:t xml:space="preserve">TOWNLIGHT_RUNTIME_PORT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PORTAL_MODE</w:t>
      </w:r>
      <w:r>
        <w:t xml:space="preserve"> </w:t>
      </w:r>
      <w:r>
        <w:t xml:space="preserve">and the</w:t>
      </w:r>
      <w:r>
        <w:t xml:space="preserve"> </w:t>
      </w:r>
      <w:r>
        <w:t xml:space="preserve">runtime-managed secret files. Treat database URLs and native session</w:t>
      </w:r>
      <w:r>
        <w:t xml:space="preserve"> </w:t>
      </w:r>
      <w:r>
        <w:t xml:space="preserve">proofs as secrets. The installed native domain runtime explicitly</w:t>
      </w:r>
      <w:r>
        <w:t xml:space="preserve"> </w:t>
      </w:r>
      <w:r>
        <w:t xml:space="preserve">refuses non-loopback binding.</w:t>
      </w:r>
      <w:r>
        <w:t xml:space="preserve"> </w:t>
      </w:r>
      <w:r>
        <w:rPr>
          <w:rStyle w:val="VerbatimChar"/>
        </w:rPr>
        <w:t xml:space="preserve">PORTAL_MODE=private</w:t>
      </w:r>
      <w:r>
        <w:t xml:space="preserve"> </w:t>
      </w:r>
      <w:r>
        <w:t xml:space="preserve">is the</w:t>
      </w:r>
      <w:r>
        <w:t xml:space="preserve"> </w:t>
      </w:r>
      <w:r>
        <w:t xml:space="preserve">accepted posture; changing it does not by itself commission an internet</w:t>
      </w:r>
      <w:r>
        <w:t xml:space="preserve"> </w:t>
      </w:r>
      <w:r>
        <w:t xml:space="preserve">portal, authentication provider or reverse proxy.</w:t>
      </w:r>
    </w:p>
    <w:p>
      <w:pPr>
        <w:pStyle w:val="BodyText"/>
      </w:pPr>
      <w:r>
        <w:t xml:space="preserve">The isolated documentation exporter sets a fictional profile and</w:t>
      </w:r>
      <w:r>
        <w:t xml:space="preserve"> </w:t>
      </w:r>
      <w:r>
        <w:t xml:space="preserve">unusable synthetic database origin only to read schemas; those values</w:t>
      </w:r>
      <w:r>
        <w:t xml:space="preserve"> </w:t>
      </w:r>
      <w:r>
        <w:t xml:space="preserve">are not deployment configuration. Keep deployment values in the intended</w:t>
      </w:r>
      <w:r>
        <w:t xml:space="preserve"> </w:t>
      </w:r>
      <w:r>
        <w:t xml:space="preserve">process/account scope. An already-running process does not automatically</w:t>
      </w:r>
      <w:r>
        <w:t xml:space="preserve"> </w:t>
      </w:r>
      <w:r>
        <w:t xml:space="preserve">inherit later environment edits.</w:t>
      </w:r>
    </w:p>
    <w:bookmarkEnd w:id="52"/>
    <w:bookmarkStart w:id="53" w:name="communications-and-review-configuration"/>
    <w:p>
      <w:pPr>
        <w:pStyle w:val="Heading3"/>
      </w:pPr>
      <w:r>
        <w:t xml:space="preserve">Communications and</w:t>
      </w:r>
      <w:r>
        <w:t xml:space="preserve"> </w:t>
      </w:r>
      <w:r>
        <w:t xml:space="preserve">review configuration</w:t>
      </w:r>
    </w:p>
    <w:p>
      <w:pPr>
        <w:pStyle w:val="FirstParagraph"/>
      </w:pPr>
      <w:r>
        <w:t xml:space="preserve">SMTP settings include host, port, username/password, sender address</w:t>
      </w:r>
      <w:r>
        <w:t xml:space="preserve"> </w:t>
      </w:r>
      <w:r>
        <w:t xml:space="preserve">and TLS choice. Configure and verify actual delivery only for a</w:t>
      </w:r>
      <w:r>
        <w:t xml:space="preserve"> </w:t>
      </w:r>
      <w:r>
        <w:t xml:space="preserve">deployment that selects external mail. Connector host allowlists and</w:t>
      </w:r>
      <w:r>
        <w:t xml:space="preserve"> </w:t>
      </w:r>
      <w:r>
        <w:t xml:space="preserve">encrypted data-source configuration are separate controls. Records fee</w:t>
      </w:r>
      <w:r>
        <w:t xml:space="preserve"> </w:t>
      </w:r>
      <w:r>
        <w:t xml:space="preserve">schedules concern the records workflow; they do not authorize Permitting</w:t>
      </w:r>
      <w:r>
        <w:t xml:space="preserve"> </w:t>
      </w:r>
      <w:r>
        <w:t xml:space="preserve">to calculate an official permit fee. Keep resident portal posture and</w:t>
      </w:r>
      <w:r>
        <w:t xml:space="preserve"> </w:t>
      </w:r>
      <w:r>
        <w:t xml:space="preserve">self-registration separate from named local staff setup.</w:t>
      </w:r>
    </w:p>
    <w:bookmarkEnd w:id="53"/>
    <w:bookmarkEnd w:id="54"/>
    <w:bookmarkStart w:id="65" w:name="api-and-integration-examples"/>
    <w:p>
      <w:pPr>
        <w:pStyle w:val="Heading2"/>
      </w:pPr>
      <w:r>
        <w:t xml:space="preserve">API and integration examples</w:t>
      </w:r>
    </w:p>
    <w:bookmarkStart w:id="56" w:name="native-command-example"/>
    <w:p>
      <w:pPr>
        <w:pStyle w:val="Heading3"/>
      </w:pPr>
      <w:r>
        <w:t xml:space="preserve">Native command example</w:t>
      </w:r>
    </w:p>
    <w:p>
      <w:pPr>
        <w:pStyle w:val="FirstParagraph"/>
      </w:pPr>
      <w:r>
        <w:t xml:space="preserve">The following JavaScript belongs in the existing trusted Townlight</w:t>
      </w:r>
      <w:r>
        <w:t xml:space="preserve"> </w:t>
      </w:r>
      <w:r>
        <w:t xml:space="preserve">frontend/development environment with</w:t>
      </w:r>
      <w:r>
        <w:t xml:space="preserve"> </w:t>
      </w:r>
      <w:r>
        <w:rPr>
          <w:rStyle w:val="VerbatimChar"/>
        </w:rPr>
        <w:t xml:space="preserve">invoke</w:t>
      </w:r>
      <w:r>
        <w:t xml:space="preserve"> </w:t>
      </w:r>
      <w:r>
        <w:t xml:space="preserve">imported from</w:t>
      </w:r>
      <w:r>
        <w:t xml:space="preserve"> </w:t>
      </w:r>
      <w:r>
        <w:rPr>
          <w:rStyle w:val="VerbatimChar"/>
        </w:rPr>
        <w:t xml:space="preserve">@tauri-apps/api/core</w:t>
      </w:r>
      <w:r>
        <w:t xml:space="preserve">. It is not a command for an arbitrary</w:t>
      </w:r>
      <w:r>
        <w:t xml:space="preserve"> </w:t>
      </w:r>
      <w:r>
        <w:t xml:space="preserve">web page or an instruction for nontechnical staff. IDs must come from</w:t>
      </w:r>
      <w:r>
        <w:t xml:space="preserve"> </w:t>
      </w:r>
      <w:r>
        <w:t xml:space="preserve">records created in an isolated synthetic exercise.</w:t>
      </w:r>
    </w:p>
    <w:bookmarkStart w:id="55" w:name="cb4"/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{ invoke } </w:t>
      </w:r>
      <w:r>
        <w:rPr>
          <w:rStyle w:val="Import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'@tauri-apps/api/core'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await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invoke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'records_domain_request'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{</w:t>
      </w:r>
      <w:r>
        <w:rPr>
          <w:rStyle w:val="DataTypeTok"/>
        </w:rPr>
        <w:t xml:space="preserve">request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{</w:t>
      </w:r>
      <w:r>
        <w:rPr>
          <w:rStyle w:val="DataTypeTok"/>
        </w:rPr>
        <w:t xml:space="preserve">operation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'view'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request_id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requestId}})</w:t>
      </w:r>
      <w:r>
        <w:rPr>
          <w:rStyle w:val="OperatorTok"/>
        </w:rPr>
        <w:t xml:space="preserve">;</w:t>
      </w:r>
      <w:r>
        <w:br/>
      </w:r>
      <w:r>
        <w:rPr>
          <w:rStyle w:val="BuiltInTok"/>
        </w:rPr>
        <w:t xml:space="preserve">console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(result)</w:t>
      </w:r>
      <w:r>
        <w:rPr>
          <w:rStyle w:val="OperatorTok"/>
        </w:rPr>
        <w:t xml:space="preserve">;</w:t>
      </w:r>
    </w:p>
    <w:bookmarkEnd w:id="55"/>
    <w:bookmarkEnd w:id="56"/>
    <w:bookmarkStart w:id="58" w:name="trusted-local-http-example"/>
    <w:p>
      <w:pPr>
        <w:pStyle w:val="Heading3"/>
      </w:pPr>
      <w:r>
        <w:t xml:space="preserve">Trusted local HTTP example</w:t>
      </w:r>
    </w:p>
    <w:p>
      <w:pPr>
        <w:pStyle w:val="FirstParagraph"/>
      </w:pPr>
      <w:r>
        <w:t xml:space="preserve">An administrator/developer can inspect an already-configured isolated</w:t>
      </w:r>
      <w:r>
        <w:t xml:space="preserve"> </w:t>
      </w:r>
      <w:r>
        <w:t xml:space="preserve">runtime from a trusted local process. This PowerShell example reads the</w:t>
      </w:r>
      <w:r>
        <w:t xml:space="preserve"> </w:t>
      </w:r>
      <w:r>
        <w:t xml:space="preserve">signed-in synthetic profile’s existing proof into memory; it does not</w:t>
      </w:r>
      <w:r>
        <w:t xml:space="preserve"> </w:t>
      </w:r>
      <w:r>
        <w:t xml:space="preserve">create a user, seed a session, reveal the proof in output or bypass a</w:t>
      </w:r>
      <w:r>
        <w:t xml:space="preserve"> </w:t>
      </w:r>
      <w:r>
        <w:t xml:space="preserve">permission check. Do not use real city data in development examples. A</w:t>
      </w:r>
      <w:r>
        <w:t xml:space="preserve"> </w:t>
      </w:r>
      <w:r>
        <w:t xml:space="preserve">read response does not prove approval or publication.</w:t>
      </w:r>
    </w:p>
    <w:bookmarkStart w:id="57" w:name="cb5"/>
    <w:p>
      <w:pPr>
        <w:pStyle w:val="SourceCode"/>
      </w:pP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LOCALAPPDATA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'CivicSuite'</w:t>
      </w:r>
      <w:r>
        <w:br/>
      </w:r>
      <w:r>
        <w:rPr>
          <w:rStyle w:val="VariableTok"/>
        </w:rPr>
        <w:t xml:space="preserve">$sessionPath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'config\local-session.json'</w:t>
      </w:r>
      <w:r>
        <w:br/>
      </w:r>
      <w:r>
        <w:rPr>
          <w:rStyle w:val="VariableTok"/>
        </w:rPr>
        <w:t xml:space="preserve">$session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Get-Content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LiteralPath </w:t>
      </w:r>
      <w:r>
        <w:rPr>
          <w:rStyle w:val="VariableTok"/>
        </w:rPr>
        <w:t xml:space="preserve">$sessionPath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Raw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ConvertFrom-Json</w:t>
      </w:r>
      <w:r>
        <w:br/>
      </w:r>
      <w:r>
        <w:rPr>
          <w:rStyle w:val="VariableTok"/>
        </w:rPr>
        <w:t xml:space="preserve">$headers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@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'X-Townlight-Session'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$session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session_hash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FunctionTok"/>
        </w:rPr>
        <w:t xml:space="preserve">Invoke-RestMethod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Uri </w:t>
      </w:r>
      <w:r>
        <w:rPr>
          <w:rStyle w:val="StringTok"/>
        </w:rPr>
        <w:t xml:space="preserve">'http://127.0.0.1:15480/desktop/v1/records-state'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Headers </w:t>
      </w:r>
      <w:r>
        <w:rPr>
          <w:rStyle w:val="VariableTok"/>
        </w:rPr>
        <w:t xml:space="preserve">$headers</w:t>
      </w:r>
      <w:r>
        <w:br/>
      </w:r>
      <w:r>
        <w:rPr>
          <w:rStyle w:val="FunctionTok"/>
        </w:rPr>
        <w:t xml:space="preserve">Remove-Variable</w:t>
      </w:r>
      <w:r>
        <w:rPr>
          <w:rStyle w:val="NormalTok"/>
        </w:rPr>
        <w:t xml:space="preserve"> session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headers</w:t>
      </w:r>
    </w:p>
    <w:bookmarkEnd w:id="57"/>
    <w:bookmarkEnd w:id="58"/>
    <w:bookmarkStart w:id="60" w:name="Xc1e641ed528d4025c368f165cf10eb57eaf8eef"/>
    <w:p>
      <w:pPr>
        <w:pStyle w:val="Heading3"/>
      </w:pPr>
      <w:r>
        <w:t xml:space="preserve">A synthetic write</w:t>
      </w:r>
      <w:r>
        <w:t xml:space="preserve"> </w:t>
      </w:r>
      <w:r>
        <w:t xml:space="preserve">with subsequent readback</w:t>
      </w:r>
    </w:p>
    <w:p>
      <w:pPr>
        <w:pStyle w:val="FirstParagraph"/>
      </w:pPr>
      <w:r>
        <w:t xml:space="preserve">This example demonstrates the existing Meetings HTTP contract in an</w:t>
      </w:r>
      <w:r>
        <w:t xml:space="preserve"> </w:t>
      </w:r>
      <w:r>
        <w:t xml:space="preserve">isolated exercise. It is intentionally fictional. It does not start a</w:t>
      </w:r>
      <w:r>
        <w:t xml:space="preserve"> </w:t>
      </w:r>
      <w:r>
        <w:t xml:space="preserve">service. Its authentication setup is included so it can be run</w:t>
      </w:r>
      <w:r>
        <w:t xml:space="preserve"> </w:t>
      </w:r>
      <w:r>
        <w:t xml:space="preserve">independently under the signed-in synthetic account. If a write times</w:t>
      </w:r>
      <w:r>
        <w:t xml:space="preserve"> </w:t>
      </w:r>
      <w:r>
        <w:t xml:space="preserve">out, inspect current records before repeating it.</w:t>
      </w:r>
    </w:p>
    <w:bookmarkStart w:id="59" w:name="cb6"/>
    <w:p>
      <w:pPr>
        <w:pStyle w:val="SourceCode"/>
      </w:pP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LOCALAPPDATA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'CivicSuite'</w:t>
      </w:r>
      <w:r>
        <w:br/>
      </w:r>
      <w:r>
        <w:rPr>
          <w:rStyle w:val="VariableTok"/>
        </w:rPr>
        <w:t xml:space="preserve">$sessionPath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'config/local-session.json'</w:t>
      </w:r>
      <w:r>
        <w:br/>
      </w:r>
      <w:r>
        <w:rPr>
          <w:rStyle w:val="VariableTok"/>
        </w:rPr>
        <w:t xml:space="preserve">$session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Get-Content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LiteralPath </w:t>
      </w:r>
      <w:r>
        <w:rPr>
          <w:rStyle w:val="VariableTok"/>
        </w:rPr>
        <w:t xml:space="preserve">$sessionPath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Raw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ConvertFrom-Json</w:t>
      </w:r>
      <w:r>
        <w:br/>
      </w:r>
      <w:r>
        <w:rPr>
          <w:rStyle w:val="VariableTok"/>
        </w:rPr>
        <w:t xml:space="preserve">$headers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@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'X-Townlight-Session'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$session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session_hash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VariableTok"/>
        </w:rPr>
        <w:t xml:space="preserve">$body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@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title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'Synthetic documentation exercise'</w:t>
      </w:r>
      <w:r>
        <w:br/>
      </w:r>
      <w:r>
        <w:rPr>
          <w:rStyle w:val="NormalTok"/>
        </w:rPr>
        <w:t xml:space="preserve">  scheduled_start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'2026-11-05T18:00:00-07:00'</w:t>
      </w:r>
      <w:r>
        <w:br/>
      </w:r>
      <w:r>
        <w:rPr>
          <w:rStyle w:val="NormalTok"/>
        </w:rPr>
        <w:t xml:space="preserve">  location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'Synthetic room'</w:t>
      </w:r>
      <w:r>
        <w:br/>
      </w:r>
      <w:r>
        <w:rPr>
          <w:rStyle w:val="NormalTok"/>
        </w:rPr>
        <w:t xml:space="preserve">  meeting_type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'regular'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ConvertTo-Json</w:t>
      </w:r>
      <w:r>
        <w:br/>
      </w:r>
      <w:r>
        <w:rPr>
          <w:rStyle w:val="VariableTok"/>
        </w:rPr>
        <w:t xml:space="preserve">$meeting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Invoke-RestMethod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Method Post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Uri </w:t>
      </w:r>
      <w:r>
        <w:rPr>
          <w:rStyle w:val="StringTok"/>
        </w:rPr>
        <w:t xml:space="preserve">'http://127.0.0.1:15480/desktop/v1/meetings/meetings'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Headers </w:t>
      </w:r>
      <w:r>
        <w:rPr>
          <w:rStyle w:val="VariableTok"/>
        </w:rPr>
        <w:t xml:space="preserve">$headers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ContentType </w:t>
      </w:r>
      <w:r>
        <w:rPr>
          <w:rStyle w:val="StringTok"/>
        </w:rPr>
        <w:t xml:space="preserve">'application/json'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Body </w:t>
      </w:r>
      <w:r>
        <w:rPr>
          <w:rStyle w:val="VariableTok"/>
        </w:rPr>
        <w:t xml:space="preserve">$body</w:t>
      </w:r>
      <w:r>
        <w:br/>
      </w:r>
      <w:r>
        <w:rPr>
          <w:rStyle w:val="FunctionTok"/>
        </w:rPr>
        <w:t xml:space="preserve">Invoke-RestMethod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Uri 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'http://127.0.0.1:15480/desktop/v1/meetings/meetings/'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$meeting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Headers </w:t>
      </w:r>
      <w:r>
        <w:rPr>
          <w:rStyle w:val="VariableTok"/>
        </w:rPr>
        <w:t xml:space="preserve">$headers</w:t>
      </w:r>
      <w:r>
        <w:br/>
      </w:r>
      <w:r>
        <w:rPr>
          <w:rStyle w:val="FunctionTok"/>
        </w:rPr>
        <w:t xml:space="preserve">Remove-Variable</w:t>
      </w:r>
      <w:r>
        <w:rPr>
          <w:rStyle w:val="NormalTok"/>
        </w:rPr>
        <w:t xml:space="preserve"> session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headers</w:t>
      </w:r>
    </w:p>
    <w:bookmarkEnd w:id="59"/>
    <w:p>
      <w:pPr>
        <w:pStyle w:val="FirstParagraph"/>
      </w:pPr>
      <w:r>
        <w:t xml:space="preserve">This write requires Meetings to be enabled and the signed-in staff</w:t>
      </w:r>
      <w:r>
        <w:t xml:space="preserve"> </w:t>
      </w:r>
      <w:r>
        <w:t xml:space="preserve">role to permit it. It is a cross-suite integration example; for this</w:t>
      </w:r>
      <w:r>
        <w:t xml:space="preserve"> </w:t>
      </w:r>
      <w:r>
        <w:t xml:space="preserve">product’s request models, use the complete technical reference</w:t>
      </w:r>
      <w:r>
        <w:t xml:space="preserve"> </w:t>
      </w:r>
      <w:r>
        <w:t xml:space="preserve">below.</w:t>
      </w:r>
    </w:p>
    <w:bookmarkEnd w:id="60"/>
    <w:bookmarkStart w:id="64" w:name="complete-technical-contract"/>
    <w:p>
      <w:pPr>
        <w:pStyle w:val="Heading3"/>
      </w:pPr>
      <w:r>
        <w:t xml:space="preserve">Complete technical contract</w:t>
      </w:r>
    </w:p>
    <w:p>
      <w:pPr>
        <w:pStyle w:val="FirstParagraph"/>
      </w:pPr>
      <w:r>
        <w:t xml:space="preserve">Read the</w:t>
      </w:r>
      <w:r>
        <w:t xml:space="preserve"> </w:t>
      </w:r>
      <w:hyperlink r:id="rId61">
        <w:r>
          <w:rPr>
            <w:rStyle w:val="Hyperlink"/>
          </w:rPr>
          <w:t xml:space="preserve">Records API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reference</w:t>
        </w:r>
      </w:hyperlink>
      <w:r>
        <w:t xml:space="preserve"> </w:t>
      </w:r>
      <w:r>
        <w:t xml:space="preserve">for every documented operation, request field, constraint,</w:t>
      </w:r>
      <w:r>
        <w:t xml:space="preserve"> </w:t>
      </w:r>
      <w:r>
        <w:t xml:space="preserve">response declaration and source supplement. Download the</w:t>
      </w:r>
      <w:r>
        <w:t xml:space="preserve"> </w:t>
      </w:r>
      <w:hyperlink r:id="rId62">
        <w:r>
          <w:rPr>
            <w:rStyle w:val="Hyperlink"/>
          </w:rPr>
          <w:t xml:space="preserve">OpenAPI JSON</w:t>
        </w:r>
      </w:hyperlink>
      <w:r>
        <w:t xml:space="preserve"> </w:t>
      </w:r>
      <w:r>
        <w:t xml:space="preserve">for tools.</w:t>
      </w:r>
      <w:r>
        <w:t xml:space="preserve"> </w:t>
      </w:r>
      <w:r>
        <w:t xml:space="preserve">For Station this is the suite-side schema only; its separate service</w:t>
      </w:r>
      <w:r>
        <w:t xml:space="preserve"> </w:t>
      </w:r>
      <w:r>
        <w:t xml:space="preserve">contract is documented in the API supplement. The</w:t>
      </w:r>
      <w:r>
        <w:t xml:space="preserve"> </w:t>
      </w:r>
      <w:hyperlink r:id="rId63">
        <w:r>
          <w:rPr>
            <w:rStyle w:val="Hyperlink"/>
          </w:rPr>
          <w:t xml:space="preserve">reference directory</w:t>
        </w:r>
      </w:hyperlink>
      <w:r>
        <w:t xml:space="preserve"> </w:t>
      </w:r>
      <w:r>
        <w:t xml:space="preserve">includes</w:t>
      </w:r>
      <w:r>
        <w:t xml:space="preserve"> </w:t>
      </w:r>
      <w:r>
        <w:t xml:space="preserve">configuration/source inventories, dependency declarations, native</w:t>
      </w:r>
      <w:r>
        <w:t xml:space="preserve"> </w:t>
      </w:r>
      <w:r>
        <w:t xml:space="preserve">command contracts, MCP signatures and candidate evidence.</w:t>
      </w:r>
    </w:p>
    <w:bookmarkEnd w:id="64"/>
    <w:bookmarkEnd w:id="65"/>
    <w:bookmarkStart w:id="68" w:name="mcp-and-automation-boundary"/>
    <w:p>
      <w:pPr>
        <w:pStyle w:val="Heading2"/>
      </w:pPr>
      <w:r>
        <w:t xml:space="preserve">MCP and automation boundary</w:t>
      </w:r>
    </w:p>
    <w:p>
      <w:pPr>
        <w:pStyle w:val="FirstParagraph"/>
      </w:pPr>
      <w:r>
        <w:t xml:space="preserve">No direct product MCP server is exposed by the accepted Townlight</w:t>
      </w:r>
      <w:r>
        <w:t xml:space="preserve"> </w:t>
      </w:r>
      <w:r>
        <w:t xml:space="preserve">desktop or Station boundary. Do not configure an invented</w:t>
      </w:r>
      <w:r>
        <w:t xml:space="preserve"> </w:t>
      </w:r>
      <w:r>
        <w:rPr>
          <w:rStyle w:val="VerbatimChar"/>
        </w:rPr>
        <w:t xml:space="preserve">townlight mcp</w:t>
      </w:r>
      <w:r>
        <w:t xml:space="preserve"> </w:t>
      </w:r>
      <w:r>
        <w:t xml:space="preserve">command or assume an AI client has staff</w:t>
      </w:r>
      <w:r>
        <w:t xml:space="preserve"> </w:t>
      </w:r>
      <w:r>
        <w:t xml:space="preserve">permissions. The integration surfaces for this beta are native IPC, the</w:t>
      </w:r>
      <w:r>
        <w:t xml:space="preserve"> </w:t>
      </w:r>
      <w:r>
        <w:t xml:space="preserve">documented HTTP APIs, source bundle imports, exact exports and the</w:t>
      </w:r>
      <w:r>
        <w:t xml:space="preserve"> </w:t>
      </w:r>
      <w:r>
        <w:t xml:space="preserve">existing Station CLI.</w:t>
      </w:r>
    </w:p>
    <w:p>
      <w:pPr>
        <w:pStyle w:val="BodyText"/>
      </w:pPr>
      <w:r>
        <w:t xml:space="preserve">The bundled transcription code includes a</w:t>
      </w:r>
      <w:r>
        <w:t xml:space="preserve"> </w:t>
      </w:r>
      <w:r>
        <w:rPr>
          <w:b/>
          <w:bCs/>
        </w:rPr>
        <w:t xml:space="preserve">TextFlowKit MCP</w:t>
      </w:r>
      <w:r>
        <w:rPr>
          <w:b/>
          <w:bCs/>
        </w:rPr>
        <w:t xml:space="preserve"> </w:t>
      </w:r>
      <w:r>
        <w:rPr>
          <w:b/>
          <w:bCs/>
        </w:rPr>
        <w:t xml:space="preserve">adapter</w:t>
      </w:r>
      <w:r>
        <w:t xml:space="preserve"> </w:t>
      </w:r>
      <w:r>
        <w:t xml:space="preserve">as a separate source capability. It offers job-based</w:t>
      </w:r>
      <w:r>
        <w:t xml:space="preserve"> </w:t>
      </w:r>
      <w:r>
        <w:rPr>
          <w:rStyle w:val="VerbatimChar"/>
        </w:rPr>
        <w:t xml:space="preserve">transcribe_media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get_transcript</w:t>
      </w:r>
      <w:r>
        <w:t xml:space="preserve">,</w:t>
      </w:r>
      <w:r>
        <w:t xml:space="preserve"> </w:t>
      </w:r>
      <w:r>
        <w:rPr>
          <w:rStyle w:val="VerbatimChar"/>
        </w:rPr>
        <w:t xml:space="preserve">list_jobs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get_job_status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export_transcript</w:t>
      </w:r>
      <w:r>
        <w:t xml:space="preserve">, and additional tools declared in that</w:t>
      </w:r>
      <w:r>
        <w:t xml:space="preserve"> </w:t>
      </w:r>
      <w:r>
        <w:t xml:space="preserve">adapter. It uses stdio first and optional Streamable HTTP, with the MCP</w:t>
      </w:r>
      <w:r>
        <w:t xml:space="preserve"> </w:t>
      </w:r>
      <w:r>
        <w:t xml:space="preserve">SDK as an optional extra. It is not automatically launched,</w:t>
      </w:r>
      <w:r>
        <w:t xml:space="preserve"> </w:t>
      </w:r>
      <w:r>
        <w:t xml:space="preserve">authenticated as Townlight staff or accepted as a Townlight product MCP</w:t>
      </w:r>
      <w:r>
        <w:t xml:space="preserve"> </w:t>
      </w:r>
      <w:r>
        <w:t xml:space="preserve">deployment. This documentation does not add such a service.</w:t>
      </w:r>
    </w:p>
    <w:p>
      <w:pPr>
        <w:pStyle w:val="BodyText"/>
      </w:pPr>
      <w:r>
        <w:t xml:space="preserve">For a transcription client already provisioned separately, an</w:t>
      </w:r>
      <w:r>
        <w:t xml:space="preserve"> </w:t>
      </w:r>
      <w:r>
        <w:t xml:space="preserve">illustrative tool call is:</w:t>
      </w:r>
    </w:p>
    <w:bookmarkStart w:id="66" w:name="cb7"/>
    <w:p>
      <w:pPr>
        <w:pStyle w:val="SourceCode"/>
      </w:pPr>
      <w:r>
        <w:rPr>
          <w:rStyle w:val="FunctionTok"/>
        </w:rPr>
        <w:t xml:space="preserve">{</w:t>
      </w:r>
      <w:r>
        <w:rPr>
          <w:rStyle w:val="DataTypeTok"/>
        </w:rPr>
        <w:t xml:space="preserve">"name"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"get_job_status"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"arguments"</w:t>
      </w:r>
      <w:r>
        <w:rPr>
          <w:rStyle w:val="FunctionTok"/>
        </w:rPr>
        <w:t xml:space="preserve">:{</w:t>
      </w:r>
      <w:r>
        <w:rPr>
          <w:rStyle w:val="DataTypeTok"/>
        </w:rPr>
        <w:t xml:space="preserve">"job_id"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"synthetic-existing-job-id"</w:t>
      </w:r>
      <w:r>
        <w:rPr>
          <w:rStyle w:val="FunctionTok"/>
        </w:rPr>
        <w:t xml:space="preserve">}}</w:t>
      </w:r>
    </w:p>
    <w:bookmarkEnd w:id="66"/>
    <w:p>
      <w:pPr>
        <w:pStyle w:val="FirstParagraph"/>
      </w:pPr>
      <w:r>
        <w:t xml:space="preserve">Use a job ID returned by that transcription service. This example</w:t>
      </w:r>
      <w:r>
        <w:t xml:space="preserve"> </w:t>
      </w:r>
      <w:r>
        <w:t xml:space="preserve">does not create a Townlight record or bypass its review/Records handoff.</w:t>
      </w:r>
      <w:r>
        <w:t xml:space="preserve"> </w:t>
      </w:r>
      <w:r>
        <w:t xml:space="preserve">The exact optional adapter tool signatures are supplied in the</w:t>
      </w:r>
      <w:r>
        <w:t xml:space="preserve"> </w:t>
      </w:r>
      <w:hyperlink r:id="rId67">
        <w:r>
          <w:rPr>
            <w:rStyle w:val="Hyperlink"/>
          </w:rPr>
          <w:t xml:space="preserve">MCP source reference</w:t>
        </w:r>
      </w:hyperlink>
      <w:r>
        <w:t xml:space="preserve">. Station</w:t>
      </w:r>
      <w:r>
        <w:t xml:space="preserve"> </w:t>
      </w:r>
      <w:r>
        <w:t xml:space="preserve">meeting capture does not become live speech recognition because this</w:t>
      </w:r>
      <w:r>
        <w:t xml:space="preserve"> </w:t>
      </w:r>
      <w:r>
        <w:t xml:space="preserve">optional donor adapter exists.</w:t>
      </w:r>
    </w:p>
    <w:bookmarkEnd w:id="68"/>
    <w:bookmarkStart w:id="69" w:name="security-and-permissions"/>
    <w:p>
      <w:pPr>
        <w:pStyle w:val="Heading2"/>
      </w:pPr>
      <w:r>
        <w:t xml:space="preserve">Security and permissions</w:t>
      </w:r>
    </w:p>
    <w:p>
      <w:pPr>
        <w:pStyle w:val="FirstParagraph"/>
      </w:pPr>
      <w:r>
        <w:t xml:space="preserve">Use your own named account and save before leaving a screen. A saved</w:t>
      </w:r>
      <w:r>
        <w:t xml:space="preserve"> </w:t>
      </w:r>
      <w:r>
        <w:t xml:space="preserve">draft is durable; unsaved form text may not be. If a write has an</w:t>
      </w:r>
      <w:r>
        <w:t xml:space="preserve"> </w:t>
      </w:r>
      <w:r>
        <w:t xml:space="preserve">unknown result, reopen its record before repeating it.</w:t>
      </w:r>
    </w:p>
    <w:p>
      <w:pPr>
        <w:pStyle w:val="BodyText"/>
      </w:pPr>
      <w:r>
        <w:t xml:space="preserve">Read source jurisdiction, dates, citation, version and visibility. A</w:t>
      </w:r>
      <w:r>
        <w:t xml:space="preserve"> </w:t>
      </w:r>
      <w:r>
        <w:t xml:space="preserve">copied source hash identifies exact bytes, not their legal</w:t>
      </w:r>
      <w:r>
        <w:t xml:space="preserve"> </w:t>
      </w:r>
      <w:r>
        <w:t xml:space="preserve">applicability. If a source changes or permission is removed, resolve the</w:t>
      </w:r>
      <w:r>
        <w:t xml:space="preserve"> </w:t>
      </w:r>
      <w:r>
        <w:t xml:space="preserve">source problem rather than substituting stale cached content.</w:t>
      </w:r>
    </w:p>
    <w:p>
      <w:pPr>
        <w:pStyle w:val="BodyText"/>
      </w:pPr>
      <w:r>
        <w:t xml:space="preserve">Keep originals and derivatives separate. Review the intended audience</w:t>
      </w:r>
      <w:r>
        <w:t xml:space="preserve"> </w:t>
      </w:r>
      <w:r>
        <w:t xml:space="preserve">before export. A public summary excludes private fields only through the</w:t>
      </w:r>
      <w:r>
        <w:t xml:space="preserve"> </w:t>
      </w:r>
      <w:r>
        <w:t xml:space="preserve">applicable copy contract and your review. A renamed private packet is</w:t>
      </w:r>
      <w:r>
        <w:t xml:space="preserve"> </w:t>
      </w:r>
      <w:r>
        <w:t xml:space="preserve">still private content.</w:t>
      </w:r>
    </w:p>
    <w:p>
      <w:pPr>
        <w:pStyle w:val="BodyText"/>
      </w:pPr>
      <w:r>
        <w:t xml:space="preserve">Drafting, review, approval, attachment, export, fulfillment and</w:t>
      </w:r>
      <w:r>
        <w:t xml:space="preserve"> </w:t>
      </w:r>
      <w:r>
        <w:t xml:space="preserve">publication are separate operations. A Townlight workpaper does not</w:t>
      </w:r>
      <w:r>
        <w:t xml:space="preserve"> </w:t>
      </w:r>
      <w:r>
        <w:t xml:space="preserve">itself adopt law, issue a permit, impose a fine or release a records</w:t>
      </w:r>
      <w:r>
        <w:t xml:space="preserve"> </w:t>
      </w:r>
      <w:r>
        <w:t xml:space="preserve">response. The responsible staff member records the applicable</w:t>
      </w:r>
      <w:r>
        <w:t xml:space="preserve"> </w:t>
      </w:r>
      <w:r>
        <w:t xml:space="preserve">decision.</w:t>
      </w:r>
    </w:p>
    <w:p>
      <w:pPr>
        <w:pStyle w:val="BodyText"/>
      </w:pPr>
      <w:r>
        <w:t xml:space="preserve">The native session is validated and mapped to a persisted SQL</w:t>
      </w:r>
      <w:r>
        <w:t xml:space="preserve"> </w:t>
      </w:r>
      <w:r>
        <w:t xml:space="preserve">identity. An editable actor/reviewer label is not authentication.</w:t>
      </w:r>
      <w:r>
        <w:t xml:space="preserve"> </w:t>
      </w:r>
      <w:r>
        <w:t xml:space="preserve">Product/module permissions and source visibility apply at the server</w:t>
      </w:r>
      <w:r>
        <w:t xml:space="preserve"> </w:t>
      </w:r>
      <w:r>
        <w:t xml:space="preserve">boundary. Revoked/unavailable authority fails closed for new Station</w:t>
      </w:r>
      <w:r>
        <w:t xml:space="preserve"> </w:t>
      </w:r>
      <w:r>
        <w:t xml:space="preserve">operations; a previous permission result is not a perpetual</w:t>
      </w:r>
      <w:r>
        <w:t xml:space="preserve"> </w:t>
      </w:r>
      <w:r>
        <w:t xml:space="preserve">authorization.</w:t>
      </w:r>
    </w:p>
    <w:p>
      <w:pPr>
        <w:pStyle w:val="BodyText"/>
      </w:pPr>
      <w:r>
        <w:t xml:space="preserve">Use protected local folders, account permissions and credential</w:t>
      </w:r>
      <w:r>
        <w:t xml:space="preserve"> </w:t>
      </w:r>
      <w:r>
        <w:t xml:space="preserve">storage. Never include the native session file, database passwords,</w:t>
      </w:r>
      <w:r>
        <w:t xml:space="preserve"> </w:t>
      </w:r>
      <w:r>
        <w:t xml:space="preserve">provider keys or unredacted support bundles in a public issue or</w:t>
      </w:r>
      <w:r>
        <w:t xml:space="preserve"> </w:t>
      </w:r>
      <w:r>
        <w:t xml:space="preserve">generated public documentation. A local public view is not automatically</w:t>
      </w:r>
      <w:r>
        <w:t xml:space="preserve"> </w:t>
      </w:r>
      <w:r>
        <w:t xml:space="preserve">a secured internet deployment. Keep network exposure and real equipment</w:t>
      </w:r>
      <w:r>
        <w:t xml:space="preserve"> </w:t>
      </w:r>
      <w:r>
        <w:t xml:space="preserve">acceptance specific to the chosen beta site.</w:t>
      </w:r>
    </w:p>
    <w:bookmarkEnd w:id="69"/>
    <w:bookmarkStart w:id="70" w:name="backup-recovery-and-maintenance"/>
    <w:p>
      <w:pPr>
        <w:pStyle w:val="Heading2"/>
      </w:pPr>
      <w:r>
        <w:t xml:space="preserve">Backup recovery and</w:t>
      </w:r>
      <w:r>
        <w:t xml:space="preserve"> </w:t>
      </w:r>
      <w:r>
        <w:t xml:space="preserve">maintenance</w:t>
      </w:r>
    </w:p>
    <w:p>
      <w:pPr>
        <w:pStyle w:val="FirstParagraph"/>
      </w:pPr>
      <w:r>
        <w:t xml:space="preserve">Save work and use Core’s canonical</w:t>
      </w:r>
      <w:r>
        <w:t xml:space="preserve"> </w:t>
      </w:r>
      <w:r>
        <w:rPr>
          <w:b/>
          <w:bCs/>
        </w:rPr>
        <w:t xml:space="preserve">Backup Now</w:t>
      </w:r>
      <w:r>
        <w:t xml:space="preserve"> </w:t>
      </w:r>
      <w:r>
        <w:t xml:space="preserve">before</w:t>
      </w:r>
      <w:r>
        <w:t xml:space="preserve"> </w:t>
      </w:r>
      <w:r>
        <w:t xml:space="preserve">maintenance. That operation stops writers. Preserve the coherent</w:t>
      </w:r>
      <w:r>
        <w:t xml:space="preserve"> </w:t>
      </w:r>
      <w:r>
        <w:t xml:space="preserve">profile/database/document backup and its receipt, then use</w:t>
      </w:r>
      <w:r>
        <w:t xml:space="preserve"> </w:t>
      </w:r>
      <w:r>
        <w:rPr>
          <w:b/>
          <w:bCs/>
        </w:rPr>
        <w:t xml:space="preserve">Start</w:t>
      </w:r>
      <w:r>
        <w:t xml:space="preserve"> </w:t>
      </w:r>
      <w:r>
        <w:t xml:space="preserve">to resume. A source export is not a full</w:t>
      </w:r>
      <w:r>
        <w:t xml:space="preserve"> </w:t>
      </w:r>
      <w:r>
        <w:t xml:space="preserve">backup.</w:t>
      </w:r>
    </w:p>
    <w:p>
      <w:pPr>
        <w:pStyle w:val="BodyText"/>
      </w:pPr>
      <w:r>
        <w:t xml:space="preserve">Use</w:t>
      </w:r>
      <w:r>
        <w:t xml:space="preserve"> </w:t>
      </w:r>
      <w:r>
        <w:rPr>
          <w:b/>
          <w:bCs/>
        </w:rPr>
        <w:t xml:space="preserve">Restore Latest Backup</w:t>
      </w:r>
      <w:r>
        <w:t xml:space="preserve"> </w:t>
      </w:r>
      <w:r>
        <w:t xml:space="preserve">through the supported</w:t>
      </w:r>
      <w:r>
        <w:t xml:space="preserve"> </w:t>
      </w:r>
      <w:r>
        <w:t xml:space="preserve">controls. If the result says</w:t>
      </w:r>
      <w:r>
        <w:t xml:space="preserve"> </w:t>
      </w:r>
      <w:r>
        <w:rPr>
          <w:b/>
          <w:bCs/>
        </w:rPr>
        <w:t xml:space="preserve">Restore needs service</w:t>
      </w:r>
      <w:r>
        <w:rPr>
          <w:b/>
          <w:bCs/>
        </w:rPr>
        <w:t xml:space="preserve"> </w:t>
      </w:r>
      <w:r>
        <w:rPr>
          <w:b/>
          <w:bCs/>
        </w:rPr>
        <w:t xml:space="preserve">start</w:t>
      </w:r>
      <w:r>
        <w:t xml:space="preserve">, use</w:t>
      </w:r>
      <w:r>
        <w:t xml:space="preserve"> </w:t>
      </w:r>
      <w:r>
        <w:rPr>
          <w:b/>
          <w:bCs/>
        </w:rPr>
        <w:t xml:space="preserve">Start</w:t>
      </w:r>
      <w:r>
        <w:t xml:space="preserve">, then</w:t>
      </w:r>
      <w:r>
        <w:t xml:space="preserve"> </w:t>
      </w:r>
      <w:r>
        <w:rPr>
          <w:b/>
          <w:bCs/>
        </w:rPr>
        <w:t xml:space="preserve">Check</w:t>
      </w:r>
      <w:r>
        <w:t xml:space="preserve">,</w:t>
      </w:r>
      <w:r>
        <w:t xml:space="preserve"> </w:t>
      </w:r>
      <w:r>
        <w:t xml:space="preserve">and reopen a known record. Do not repeat restore merely because services</w:t>
      </w:r>
      <w:r>
        <w:t xml:space="preserve"> </w:t>
      </w:r>
      <w:r>
        <w:t xml:space="preserve">need to start. The fresh-profile acceptance verified that a fulfilled</w:t>
      </w:r>
      <w:r>
        <w:t xml:space="preserve"> </w:t>
      </w:r>
      <w:r>
        <w:t xml:space="preserve">request survived restore and a post-backup marker did not.</w:t>
      </w:r>
    </w:p>
    <w:p>
      <w:pPr>
        <w:pStyle w:val="BodyText"/>
      </w:pPr>
      <w:r>
        <w:t xml:space="preserve">Keep Station’s dedicated database and media evidence together in its</w:t>
      </w:r>
      <w:r>
        <w:t xml:space="preserve"> </w:t>
      </w:r>
      <w:r>
        <w:t xml:space="preserve">own backup. Core’s native-profile backup must not be assumed to include</w:t>
      </w:r>
      <w:r>
        <w:t xml:space="preserve"> </w:t>
      </w:r>
      <w:r>
        <w:t xml:space="preserve">an external Station data directory. Stop writers during a coordinated</w:t>
      </w:r>
      <w:r>
        <w:t xml:space="preserve"> </w:t>
      </w:r>
      <w:r>
        <w:t xml:space="preserve">backup. Preserve failed media attempts and logs.</w:t>
      </w:r>
    </w:p>
    <w:p>
      <w:pPr>
        <w:pStyle w:val="BodyText"/>
      </w:pPr>
      <w:r>
        <w:t xml:space="preserve">On failure, record the time, selected composition,</w:t>
      </w:r>
      <w:r>
        <w:t xml:space="preserve"> </w:t>
      </w:r>
      <w:r>
        <w:t xml:space="preserve">component/installer versions and exact message. Check System Health for</w:t>
      </w:r>
      <w:r>
        <w:t xml:space="preserve"> </w:t>
      </w:r>
      <w:r>
        <w:t xml:space="preserve">stopped, starting, ready or failed dependencies. Use the existing Retry</w:t>
      </w:r>
      <w:r>
        <w:t xml:space="preserve"> </w:t>
      </w:r>
      <w:r>
        <w:t xml:space="preserve">control after readiness; do not create duplicate business records to</w:t>
      </w:r>
      <w:r>
        <w:t xml:space="preserve"> </w:t>
      </w:r>
      <w:r>
        <w:t xml:space="preserve">refresh a stale view. Share only a redacted diagnostic bundle. Preserve</w:t>
      </w:r>
      <w:r>
        <w:t xml:space="preserve"> </w:t>
      </w:r>
      <w:r>
        <w:t xml:space="preserve">secrets, original evidence, recovery material and unrelated</w:t>
      </w:r>
      <w:r>
        <w:t xml:space="preserve"> </w:t>
      </w:r>
      <w:r>
        <w:t xml:space="preserve">installations.</w:t>
      </w:r>
    </w:p>
    <w:bookmarkEnd w:id="70"/>
    <w:bookmarkStart w:id="71" w:name="troubleshooting"/>
    <w:p>
      <w:pPr>
        <w:pStyle w:val="Heading2"/>
      </w:pPr>
      <w:r>
        <w:t xml:space="preserve">Troubleshooting</w:t>
      </w:r>
    </w:p>
    <w:tbl>
      <w:tblPr>
        <w:tblStyle w:val="Table"/>
        <w:tblW w:type="pct" w:w="4950"/>
        <w:tblLayout w:type="fixed"/>
        <w:tblLook w:firstRow="1" w:lastRow="0" w:firstColumn="0" w:lastColumn="0" w:noHBand="0" w:noVBand="0" w:val="0020"/>
      </w:tblPr>
      <w:tblGrid>
        <w:gridCol w:w="2613"/>
        <w:gridCol w:w="2613"/>
        <w:gridCol w:w="261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Symptom</w:t>
            </w:r>
          </w:p>
        </w:tc>
        <w:tc>
          <w:tcPr/>
          <w:p>
            <w:pPr>
              <w:pStyle w:val="Compact"/>
            </w:pPr>
            <w:r>
              <w:t xml:space="preserve">Likely meaning</w:t>
            </w:r>
          </w:p>
        </w:tc>
        <w:tc>
          <w:tcPr/>
          <w:p>
            <w:pPr>
              <w:pStyle w:val="Compact"/>
            </w:pPr>
            <w:r>
              <w:t xml:space="preserve">Next action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Workspace absent</w:t>
            </w:r>
          </w:p>
        </w:tc>
        <w:tc>
          <w:tcPr/>
          <w:p>
            <w:pPr>
              <w:pStyle w:val="Compact"/>
            </w:pPr>
            <w:r>
              <w:t xml:space="preserve">Wrong product composition or unavailable canonical runtime.</w:t>
            </w:r>
          </w:p>
        </w:tc>
        <w:tc>
          <w:tcPr/>
          <w:p>
            <w:pPr>
              <w:pStyle w:val="Compact"/>
            </w:pPr>
            <w:r>
              <w:t xml:space="preserve">Check selected composition; activate through Finish Records</w:t>
            </w:r>
            <w:r>
              <w:t xml:space="preserve"> </w:t>
            </w:r>
            <w:r>
              <w:t xml:space="preserve">Migration; wait for readiness.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Cannot sign in / 401</w:t>
            </w:r>
          </w:p>
        </w:tc>
        <w:tc>
          <w:tcPr/>
          <w:p>
            <w:pPr>
              <w:pStyle w:val="Compact"/>
            </w:pPr>
            <w:r>
              <w:t xml:space="preserve">Missing or expired named account session.</w:t>
            </w:r>
          </w:p>
        </w:tc>
        <w:tc>
          <w:tcPr/>
          <w:p>
            <w:pPr>
              <w:pStyle w:val="Compact"/>
            </w:pPr>
            <w:r>
              <w:t xml:space="preserve">Sign in normally; reopen a Station launch ticket if applicable.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Permission denied / 403</w:t>
            </w:r>
          </w:p>
        </w:tc>
        <w:tc>
          <w:tcPr/>
          <w:p>
            <w:pPr>
              <w:pStyle w:val="Compact"/>
            </w:pPr>
            <w:r>
              <w:t xml:space="preserve">Account, module, source or browser-origin permission.</w:t>
            </w:r>
          </w:p>
        </w:tc>
        <w:tc>
          <w:tcPr/>
          <w:p>
            <w:pPr>
              <w:pStyle w:val="Compact"/>
            </w:pPr>
            <w:r>
              <w:t xml:space="preserve">Ask the authorized administrator to inspect the intended permission;</w:t>
            </w:r>
            <w:r>
              <w:t xml:space="preserve"> </w:t>
            </w:r>
            <w:r>
              <w:t xml:space="preserve">do not invent role headers.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Save conflict / 409</w:t>
            </w:r>
          </w:p>
        </w:tc>
        <w:tc>
          <w:tcPr/>
          <w:p>
            <w:pPr>
              <w:pStyle w:val="Compact"/>
            </w:pPr>
            <w:r>
              <w:t xml:space="preserve">The saved revision, expected source hash or lifecycle changed.</w:t>
            </w:r>
          </w:p>
        </w:tc>
        <w:tc>
          <w:tcPr/>
          <w:p>
            <w:pPr>
              <w:pStyle w:val="Compact"/>
            </w:pPr>
            <w:r>
              <w:t xml:space="preserve">Keep edits, reopen current state and reconcile deliberately.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Invalid input / 422</w:t>
            </w:r>
          </w:p>
        </w:tc>
        <w:tc>
          <w:tcPr/>
          <w:p>
            <w:pPr>
              <w:pStyle w:val="Compact"/>
            </w:pPr>
            <w:r>
              <w:t xml:space="preserve">Required field, format, geometry, source envelope or state is</w:t>
            </w:r>
            <w:r>
              <w:t xml:space="preserve"> </w:t>
            </w:r>
            <w:r>
              <w:t xml:space="preserve">invalid.</w:t>
            </w:r>
          </w:p>
        </w:tc>
        <w:tc>
          <w:tcPr/>
          <w:p>
            <w:pPr>
              <w:pStyle w:val="Compact"/>
            </w:pPr>
            <w:r>
              <w:t xml:space="preserve">Read the field detail and correct the input/source; preserve</w:t>
            </w:r>
            <w:r>
              <w:t xml:space="preserve"> </w:t>
            </w:r>
            <w:r>
              <w:t xml:space="preserve">originals.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Service unavailable / 503</w:t>
            </w:r>
          </w:p>
        </w:tc>
        <w:tc>
          <w:tcPr/>
          <w:p>
            <w:pPr>
              <w:pStyle w:val="Compact"/>
            </w:pPr>
            <w:r>
              <w:t xml:space="preserve">Database, schema, connected source or configuration</w:t>
            </w:r>
            <w:r>
              <w:t xml:space="preserve"> </w:t>
            </w:r>
            <w:r>
              <w:t xml:space="preserve">unavailable.</w:t>
            </w:r>
          </w:p>
        </w:tc>
        <w:tc>
          <w:tcPr/>
          <w:p>
            <w:pPr>
              <w:pStyle w:val="Compact"/>
            </w:pPr>
            <w:r>
              <w:t xml:space="preserve">Inspect System Health and the named dependency. Preserve work; retry</w:t>
            </w:r>
            <w:r>
              <w:t xml:space="preserve"> </w:t>
            </w:r>
            <w:r>
              <w:t xml:space="preserve">only after readiness.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Export refused</w:t>
            </w:r>
          </w:p>
        </w:tc>
        <w:tc>
          <w:tcPr/>
          <w:p>
            <w:pPr>
              <w:pStyle w:val="Compact"/>
            </w:pPr>
            <w:r>
              <w:t xml:space="preserve">Missing exact review, approval, audience or source</w:t>
            </w:r>
            <w:r>
              <w:t xml:space="preserve"> </w:t>
            </w:r>
            <w:r>
              <w:t xml:space="preserve">authorization.</w:t>
            </w:r>
          </w:p>
        </w:tc>
        <w:tc>
          <w:tcPr/>
          <w:p>
            <w:pPr>
              <w:pStyle w:val="Compact"/>
            </w:pPr>
            <w:r>
              <w:t xml:space="preserve">Read the refusal and complete the owning product’s explicit</w:t>
            </w:r>
            <w:r>
              <w:t xml:space="preserve"> </w:t>
            </w:r>
            <w:r>
              <w:t xml:space="preserve">decision.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Restore needs service start</w:t>
            </w:r>
          </w:p>
        </w:tc>
        <w:tc>
          <w:tcPr/>
          <w:p>
            <w:pPr>
              <w:pStyle w:val="Compact"/>
            </w:pPr>
            <w:r>
              <w:t xml:space="preserve">The snapshot was restored but services have not resumed.</w:t>
            </w:r>
          </w:p>
        </w:tc>
        <w:tc>
          <w:tcPr/>
          <w:p>
            <w:pPr>
              <w:pStyle w:val="Compact"/>
            </w:pPr>
            <w:r>
              <w:t xml:space="preserve">Use Start, then Check and verify a saved record; do not blindly</w:t>
            </w:r>
            <w:r>
              <w:t xml:space="preserve"> </w:t>
            </w:r>
            <w:r>
              <w:t xml:space="preserve">repeat restore.</w:t>
            </w:r>
          </w:p>
        </w:tc>
      </w:tr>
    </w:tbl>
    <w:bookmarkEnd w:id="71"/>
    <w:bookmarkStart w:id="73" w:name="verified-workflows-and-limits"/>
    <w:p>
      <w:pPr>
        <w:pStyle w:val="Heading2"/>
      </w:pPr>
      <w:r>
        <w:t xml:space="preserve">Verified workflows and</w:t>
      </w:r>
      <w:r>
        <w:t xml:space="preserve"> </w:t>
      </w:r>
      <w:r>
        <w:t xml:space="preserve">limits</w:t>
      </w:r>
    </w:p>
    <w:tbl>
      <w:tblPr>
        <w:tblStyle w:val="Table"/>
        <w:tblW w:type="pct" w:w="4950"/>
        <w:tblLayout w:type="fixed"/>
        <w:tblLook w:firstRow="1" w:lastRow="0" w:firstColumn="0" w:lastColumn="0" w:noHBand="0" w:noVBand="0" w:val="0020"/>
      </w:tblPr>
      <w:tblGrid>
        <w:gridCol w:w="2613"/>
        <w:gridCol w:w="2613"/>
        <w:gridCol w:w="261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Product</w:t>
            </w:r>
          </w:p>
        </w:tc>
        <w:tc>
          <w:tcPr/>
          <w:p>
            <w:pPr>
              <w:pStyle w:val="Compact"/>
            </w:pPr>
            <w:r>
              <w:t xml:space="preserve">Recorded result</w:t>
            </w:r>
          </w:p>
        </w:tc>
        <w:tc>
          <w:tcPr/>
          <w:p>
            <w:pPr>
              <w:pStyle w:val="Compact"/>
            </w:pPr>
            <w:r>
              <w:t xml:space="preserve">Precisely exercised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Records</w:t>
            </w:r>
          </w:p>
        </w:tc>
        <w:tc>
          <w:tcPr/>
          <w:p>
            <w:pPr>
              <w:pStyle w:val="Compact"/>
            </w:pPr>
            <w:r>
              <w:t xml:space="preserve">PASS</w:t>
            </w:r>
          </w:p>
        </w:tc>
        <w:tc>
          <w:tcPr/>
          <w:p>
            <w:pPr>
              <w:pStyle w:val="Compact"/>
            </w:pPr>
            <w:r>
              <w:t xml:space="preserve">Intake, note, original attachment/readback, separate release copy,</w:t>
            </w:r>
            <w:r>
              <w:t xml:space="preserve"> </w:t>
            </w:r>
            <w:r>
              <w:t xml:space="preserve">explicit release decision, draft/approval, approved response and release</w:t>
            </w:r>
            <w:r>
              <w:t xml:space="preserve"> </w:t>
            </w:r>
            <w:r>
              <w:t xml:space="preserve">package exports, fulfillment/readback and native workspace.</w:t>
            </w:r>
          </w:p>
        </w:tc>
      </w:tr>
    </w:tbl>
    <w:p>
      <w:pPr>
        <w:pStyle w:val="BodyText"/>
      </w:pPr>
      <w:r>
        <w:t xml:space="preserve">These results come from the identified signed candidate’s fresh</w:t>
      </w:r>
      <w:r>
        <w:t xml:space="preserve"> </w:t>
      </w:r>
      <w:r>
        <w:t xml:space="preserve">normal-profile Sandbox exercise: real native IPC/HTTP/PostgreSQL and</w:t>
      </w:r>
      <w:r>
        <w:t xml:space="preserve"> </w:t>
      </w:r>
      <w:r>
        <w:t xml:space="preserve">selected headless controls. All accounts, source bundles and media were</w:t>
      </w:r>
      <w:r>
        <w:t xml:space="preserve"> </w:t>
      </w:r>
      <w:r>
        <w:t xml:space="preserve">synthetic. The guest install/uninstall and recovery passed, and the</w:t>
      </w:r>
      <w:r>
        <w:t xml:space="preserve"> </w:t>
      </w:r>
      <w:r>
        <w:t xml:space="preserve">owned Sandbox stopped. No host installed application or standalone</w:t>
      </w:r>
      <w:r>
        <w:t xml:space="preserve"> </w:t>
      </w:r>
      <w:r>
        <w:t xml:space="preserve">CivicCast was changed. This documentation task reuses those receipts; it</w:t>
      </w:r>
      <w:r>
        <w:t xml:space="preserve"> </w:t>
      </w:r>
      <w:r>
        <w:t xml:space="preserve">does not claim a new software acceptance run.</w:t>
      </w:r>
    </w:p>
    <w:p>
      <w:pPr>
        <w:pStyle w:val="BodyText"/>
      </w:pPr>
      <w:r>
        <w:t xml:space="preserve">See the</w:t>
      </w:r>
      <w:r>
        <w:t xml:space="preserve"> </w:t>
      </w:r>
      <w:hyperlink r:id="rId13">
        <w:r>
          <w:rPr>
            <w:rStyle w:val="Hyperlink"/>
          </w:rPr>
          <w:t xml:space="preserve">Windows acceptance summary</w:t>
        </w:r>
      </w:hyperlink>
      <w:r>
        <w:t xml:space="preserve"> </w:t>
      </w:r>
      <w:r>
        <w:t xml:space="preserve">for this MSI. The historical</w:t>
      </w:r>
      <w:r>
        <w:t xml:space="preserve"> </w:t>
      </w:r>
      <w:hyperlink r:id="rId72">
        <w:r>
          <w:rPr>
            <w:rStyle w:val="Hyperlink"/>
          </w:rPr>
          <w:t xml:space="preserve">evidence index</w:t>
        </w:r>
      </w:hyperlink>
      <w:r>
        <w:t xml:space="preserve"> </w:t>
      </w:r>
      <w:r>
        <w:t xml:space="preserve">applies to its original build.</w:t>
      </w:r>
    </w:p>
    <w:p>
      <w:pPr>
        <w:pStyle w:val="BodyText"/>
      </w:pPr>
      <w:r>
        <w:t xml:space="preserve">The limits remain: actual city field acceptance and equipment/network</w:t>
      </w:r>
      <w:r>
        <w:t xml:space="preserve"> </w:t>
      </w:r>
      <w:r>
        <w:t xml:space="preserve">commissioning; Station automatic provisioning/SCM commissioning; every</w:t>
      </w:r>
      <w:r>
        <w:t xml:space="preserve"> </w:t>
      </w:r>
      <w:r>
        <w:t xml:space="preserve">UI/role combination; field recognition accuracy; and historical in-place</w:t>
      </w:r>
      <w:r>
        <w:t xml:space="preserve"> </w:t>
      </w:r>
      <w:r>
        <w:t xml:space="preserve">upgrades are not certified. They are not five invented feature</w:t>
      </w:r>
      <w:r>
        <w:t xml:space="preserve"> </w:t>
      </w:r>
      <w:r>
        <w:t xml:space="preserve">requirements. Fresh-install controlled beta handoff remains the accepted</w:t>
      </w:r>
      <w:r>
        <w:t xml:space="preserve"> </w:t>
      </w:r>
      <w:r>
        <w:t xml:space="preserve">scope. This package makes no city-deployment, publication or</w:t>
      </w:r>
      <w:r>
        <w:t xml:space="preserve"> </w:t>
      </w:r>
      <w:r>
        <w:t xml:space="preserve">general-availability claim.</w:t>
      </w:r>
    </w:p>
    <w:bookmarkEnd w:id="73"/>
    <w:bookmarkStart w:id="85" w:name="terms-of-service-and-license"/>
    <w:p>
      <w:pPr>
        <w:pStyle w:val="Heading2"/>
      </w:pPr>
      <w:r>
        <w:t xml:space="preserve">Terms of service and license</w:t>
      </w:r>
    </w:p>
    <w:bookmarkStart w:id="74" w:name="scope-and-status"/>
    <w:p>
      <w:pPr>
        <w:pStyle w:val="Heading3"/>
      </w:pPr>
      <w:r>
        <w:t xml:space="preserve">Scope and status</w:t>
      </w:r>
    </w:p>
    <w:p>
      <w:pPr>
        <w:pStyle w:val="FirstParagraph"/>
      </w:pPr>
      <w:r>
        <w:t xml:space="preserve">These terms describe the Townlight Beta 1 software and this</w:t>
      </w:r>
      <w:r>
        <w:t xml:space="preserve"> </w:t>
      </w:r>
      <w:r>
        <w:t xml:space="preserve">documentation package. This public Windows beta is for evaluation. No uptime commitment, support response time, indemnity,</w:t>
      </w:r>
      <w:r>
        <w:t xml:space="preserve"> </w:t>
      </w:r>
      <w:r>
        <w:t xml:space="preserve">data-processing agreement or paid service is created by these documents.</w:t>
      </w:r>
      <w:r>
        <w:t xml:space="preserve"> </w:t>
      </w:r>
      <w:r>
        <w:t xml:space="preserve">A separate signed agreement, if any, governs services it actually</w:t>
      </w:r>
      <w:r>
        <w:t xml:space="preserve"> </w:t>
      </w:r>
      <w:r>
        <w:t xml:space="preserve">provides.</w:t>
      </w:r>
    </w:p>
    <w:bookmarkEnd w:id="74"/>
    <w:bookmarkStart w:id="77" w:name="software-license-and-rights"/>
    <w:p>
      <w:pPr>
        <w:pStyle w:val="Heading3"/>
      </w:pPr>
      <w:r>
        <w:t xml:space="preserve">Software license and rights</w:t>
      </w:r>
    </w:p>
    <w:p>
      <w:pPr>
        <w:pStyle w:val="FirstParagraph"/>
      </w:pPr>
      <w:r>
        <w:t xml:space="preserve">Current Townlight-owned distributions identified in this candidate</w:t>
      </w:r>
      <w:r>
        <w:t xml:space="preserve"> </w:t>
      </w:r>
      <w:r>
        <w:t xml:space="preserve">use</w:t>
      </w:r>
      <w:r>
        <w:t xml:space="preserve"> </w:t>
      </w:r>
      <w:r>
        <w:rPr>
          <w:b/>
          <w:bCs/>
        </w:rPr>
        <w:t xml:space="preserve">AGPL-3.0-only</w:t>
      </w:r>
      <w:r>
        <w:t xml:space="preserve">. The full license is supplied with</w:t>
      </w:r>
      <w:r>
        <w:t xml:space="preserve"> </w:t>
      </w:r>
      <w:r>
        <w:t xml:space="preserve">this documentation and with the source companion. The license governs</w:t>
      </w:r>
      <w:r>
        <w:t xml:space="preserve"> </w:t>
      </w:r>
      <w:r>
        <w:t xml:space="preserve">rights to run, copy, modify and convey the covered software; these</w:t>
      </w:r>
      <w:r>
        <w:t xml:space="preserve"> </w:t>
      </w:r>
      <w:r>
        <w:t xml:space="preserve">operational terms do not add restrictions to those rights. Historical</w:t>
      </w:r>
      <w:r>
        <w:t xml:space="preserve"> </w:t>
      </w:r>
      <w:r>
        <w:t xml:space="preserve">grants and dependency licenses retain their own terms. CivicCast remains</w:t>
      </w:r>
      <w:r>
        <w:t xml:space="preserve"> </w:t>
      </w:r>
      <w:r>
        <w:t xml:space="preserve">a separate product and is not relicensed by this documentation work.</w:t>
      </w:r>
    </w:p>
    <w:p>
      <w:pPr>
        <w:pStyle w:val="BodyText"/>
      </w:pPr>
      <w:r>
        <w:t xml:space="preserve">When conveying covered software, retain applicable notices and</w:t>
      </w:r>
      <w:r>
        <w:t xml:space="preserve"> </w:t>
      </w:r>
      <w:r>
        <w:t xml:space="preserve">provide the corresponding source and installation/build information</w:t>
      </w:r>
      <w:r>
        <w:t xml:space="preserve"> </w:t>
      </w:r>
      <w:r>
        <w:t xml:space="preserve">required by the license. For a modified version supporting remote</w:t>
      </w:r>
      <w:r>
        <w:t xml:space="preserve"> </w:t>
      </w:r>
      <w:r>
        <w:t xml:space="preserve">network interaction, follow section 13’s source-offer requirement. The</w:t>
      </w:r>
      <w:r>
        <w:t xml:space="preserve"> </w:t>
      </w:r>
      <w:r>
        <w:t xml:space="preserve">companion archive identifies the source for this candidate; a link to a</w:t>
      </w:r>
      <w:r>
        <w:t xml:space="preserve"> </w:t>
      </w:r>
      <w:r>
        <w:t xml:space="preserve">different public branch is not a substitute for the matching source.</w:t>
      </w:r>
      <w:r>
        <w:t xml:space="preserve"> </w:t>
      </w:r>
      <w:r>
        <w:t xml:space="preserve">Read the supplied license for the complete conditions. See the</w:t>
      </w:r>
      <w:r>
        <w:t xml:space="preserve"> </w:t>
      </w:r>
      <w:hyperlink r:id="rId75">
        <w:r>
          <w:rPr>
            <w:rStyle w:val="Hyperlink"/>
          </w:rPr>
          <w:t xml:space="preserve">GNU license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reference</w:t>
        </w:r>
      </w:hyperlink>
      <w:r>
        <w:t xml:space="preserve"> </w:t>
      </w:r>
      <w:r>
        <w:t xml:space="preserve">and</w:t>
      </w:r>
      <w:r>
        <w:t xml:space="preserve"> </w:t>
      </w:r>
      <w:hyperlink r:id="rId76">
        <w:r>
          <w:rPr>
            <w:rStyle w:val="Hyperlink"/>
          </w:rPr>
          <w:t xml:space="preserve">GNU licensing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FAQ</w:t>
        </w:r>
      </w:hyperlink>
      <w:r>
        <w:t xml:space="preserve">.</w:t>
      </w:r>
    </w:p>
    <w:bookmarkEnd w:id="77"/>
    <w:bookmarkStart w:id="78" w:name="data-ownership-and-access"/>
    <w:p>
      <w:pPr>
        <w:pStyle w:val="Heading3"/>
      </w:pPr>
      <w:r>
        <w:t xml:space="preserve">Data ownership and access</w:t>
      </w:r>
    </w:p>
    <w:p>
      <w:pPr>
        <w:pStyle w:val="FirstParagraph"/>
      </w:pPr>
      <w:r>
        <w:t xml:space="preserve">Importing a document does not transfer its ownership or grant</w:t>
      </w:r>
      <w:r>
        <w:t xml:space="preserve"> </w:t>
      </w:r>
      <w:r>
        <w:t xml:space="preserve">permission to publish it. The operating organization controls its</w:t>
      </w:r>
      <w:r>
        <w:t xml:space="preserve"> </w:t>
      </w:r>
      <w:r>
        <w:t xml:space="preserve">accounts, access decisions, lawful source use, retention and</w:t>
      </w:r>
      <w:r>
        <w:t xml:space="preserve"> </w:t>
      </w:r>
      <w:r>
        <w:t xml:space="preserve">review/release policy. Keep resident information, credentials, private</w:t>
      </w:r>
      <w:r>
        <w:t xml:space="preserve"> </w:t>
      </w:r>
      <w:r>
        <w:t xml:space="preserve">notes and restricted evidence in their authorized locations.</w:t>
      </w:r>
      <w:r>
        <w:t xml:space="preserve"> </w:t>
      </w:r>
      <w:r>
        <w:t xml:space="preserve">Documentation examples contain fictional data. No real city account,</w:t>
      </w:r>
      <w:r>
        <w:t xml:space="preserve"> </w:t>
      </w:r>
      <w:r>
        <w:t xml:space="preserve">credential or record is required to exercise these examples in an</w:t>
      </w:r>
      <w:r>
        <w:t xml:space="preserve"> </w:t>
      </w:r>
      <w:r>
        <w:t xml:space="preserve">isolated test environment.</w:t>
      </w:r>
    </w:p>
    <w:bookmarkEnd w:id="78"/>
    <w:bookmarkStart w:id="79" w:name="local-operation-and-external-processors"/>
    <w:p>
      <w:pPr>
        <w:pStyle w:val="Heading3"/>
      </w:pPr>
      <w:r>
        <w:t xml:space="preserve">Local operation and</w:t>
      </w:r>
      <w:r>
        <w:t xml:space="preserve"> </w:t>
      </w:r>
      <w:r>
        <w:t xml:space="preserve">external processors</w:t>
      </w:r>
    </w:p>
    <w:p>
      <w:pPr>
        <w:pStyle w:val="FirstParagraph"/>
      </w:pPr>
      <w:r>
        <w:t xml:space="preserve">The accepted beta workflow is local and uses named staff accounts.</w:t>
      </w:r>
      <w:r>
        <w:t xml:space="preserve"> </w:t>
      </w:r>
      <w:r>
        <w:t xml:space="preserve">Station has separate storage and credentials. Configure backup</w:t>
      </w:r>
      <w:r>
        <w:t xml:space="preserve"> </w:t>
      </w:r>
      <w:r>
        <w:t xml:space="preserve">destinations and optional model/network providers deliberately. A</w:t>
      </w:r>
      <w:r>
        <w:t xml:space="preserve"> </w:t>
      </w:r>
      <w:r>
        <w:t xml:space="preserve">configured external provider may receive submitted prompts, images or</w:t>
      </w:r>
      <w:r>
        <w:t xml:space="preserve"> </w:t>
      </w:r>
      <w:r>
        <w:t xml:space="preserve">audio according to that configuration and provider’s terms; this</w:t>
      </w:r>
      <w:r>
        <w:t xml:space="preserve"> </w:t>
      </w:r>
      <w:r>
        <w:t xml:space="preserve">documentation does not promise that every optional configuration is</w:t>
      </w:r>
      <w:r>
        <w:t xml:space="preserve"> </w:t>
      </w:r>
      <w:r>
        <w:t xml:space="preserve">offline. An email outbox or local public view does not establish</w:t>
      </w:r>
      <w:r>
        <w:t xml:space="preserve"> </w:t>
      </w:r>
      <w:r>
        <w:t xml:space="preserve">external delivery or an internet deployment. This static documentation</w:t>
      </w:r>
      <w:r>
        <w:t xml:space="preserve"> </w:t>
      </w:r>
      <w:r>
        <w:t xml:space="preserve">site has no analytics, account collection or remote font dependency.</w:t>
      </w:r>
    </w:p>
    <w:bookmarkEnd w:id="79"/>
    <w:bookmarkStart w:id="80" w:name="staff-decisions-and-source-applicability"/>
    <w:p>
      <w:pPr>
        <w:pStyle w:val="Heading3"/>
      </w:pPr>
      <w:r>
        <w:t xml:space="preserve">Staff decisions and</w:t>
      </w:r>
      <w:r>
        <w:t xml:space="preserve"> </w:t>
      </w:r>
      <w:r>
        <w:t xml:space="preserve">source applicability</w:t>
      </w:r>
    </w:p>
    <w:p>
      <w:pPr>
        <w:pStyle w:val="FirstParagraph"/>
      </w:pPr>
      <w:r>
        <w:t xml:space="preserve">Staff verify the jurisdiction, source currency, permissions,</w:t>
      </w:r>
      <w:r>
        <w:t xml:space="preserve"> </w:t>
      </w:r>
      <w:r>
        <w:t xml:space="preserve">citations and proposed audience. Model output and generated guidance</w:t>
      </w:r>
      <w:r>
        <w:t xml:space="preserve"> </w:t>
      </w:r>
      <w:r>
        <w:t xml:space="preserve">require review. No draft is automatically an official legal</w:t>
      </w:r>
      <w:r>
        <w:t xml:space="preserve"> </w:t>
      </w:r>
      <w:r>
        <w:t xml:space="preserve">interpretation, zoning determination, permit approval, fee assessment,</w:t>
      </w:r>
      <w:r>
        <w:t xml:space="preserve"> </w:t>
      </w:r>
      <w:r>
        <w:t xml:space="preserve">enforcement notice or records-release decision. Official permit fee</w:t>
      </w:r>
      <w:r>
        <w:t xml:space="preserve"> </w:t>
      </w:r>
      <w:r>
        <w:t xml:space="preserve">authority remains with the adopted source and responsible organization;</w:t>
      </w:r>
      <w:r>
        <w:t xml:space="preserve"> </w:t>
      </w:r>
      <w:r>
        <w:t xml:space="preserve">imported amounts do not become a new authoritative calculation.</w:t>
      </w:r>
    </w:p>
    <w:bookmarkEnd w:id="80"/>
    <w:bookmarkStart w:id="81" w:name="beta-operation-and-recovery"/>
    <w:p>
      <w:pPr>
        <w:pStyle w:val="Heading3"/>
      </w:pPr>
      <w:r>
        <w:t xml:space="preserve">Beta operation and recovery</w:t>
      </w:r>
    </w:p>
    <w:p>
      <w:pPr>
        <w:pStyle w:val="FirstParagraph"/>
      </w:pPr>
      <w:r>
        <w:t xml:space="preserve">Use the identified candidate in its supported fresh-install scope.</w:t>
      </w:r>
      <w:r>
        <w:t xml:space="preserve"> </w:t>
      </w:r>
      <w:r>
        <w:t xml:space="preserve">Preserve backups and original evidence. Test physical equipment and</w:t>
      </w:r>
      <w:r>
        <w:t xml:space="preserve"> </w:t>
      </w:r>
      <w:r>
        <w:t xml:space="preserve">chosen network/service configuration before relying on them. The</w:t>
      </w:r>
      <w:r>
        <w:t xml:space="preserve"> </w:t>
      </w:r>
      <w:r>
        <w:t xml:space="preserve">supplied acceptance describes selected synthetic workflows, not every</w:t>
      </w:r>
      <w:r>
        <w:t xml:space="preserve"> </w:t>
      </w:r>
      <w:r>
        <w:t xml:space="preserve">screen, vendor, field condition or upgrade. Operators decide whether a</w:t>
      </w:r>
      <w:r>
        <w:t xml:space="preserve"> </w:t>
      </w:r>
      <w:r>
        <w:t xml:space="preserve">particular deployment meets their own operational obligations.</w:t>
      </w:r>
    </w:p>
    <w:bookmarkEnd w:id="81"/>
    <w:bookmarkStart w:id="82" w:name="warranty-and-liability"/>
    <w:p>
      <w:pPr>
        <w:pStyle w:val="Heading3"/>
      </w:pPr>
      <w:r>
        <w:t xml:space="preserve">Warranty and liability</w:t>
      </w:r>
    </w:p>
    <w:p>
      <w:pPr>
        <w:pStyle w:val="FirstParagraph"/>
      </w:pPr>
      <w:r>
        <w:t xml:space="preserve">The covered software’s warranty and liability conditions are those in</w:t>
      </w:r>
      <w:r>
        <w:t xml:space="preserve"> </w:t>
      </w:r>
      <w:r>
        <w:t xml:space="preserve">sections 15–17 of the supplied AGPL and any applicable separate written</w:t>
      </w:r>
      <w:r>
        <w:t xml:space="preserve"> </w:t>
      </w:r>
      <w:r>
        <w:t xml:space="preserve">undertaking. This documentation creates no additional warranty or</w:t>
      </w:r>
      <w:r>
        <w:t xml:space="preserve"> </w:t>
      </w:r>
      <w:r>
        <w:t xml:space="preserve">limitation beyond those terms. Third-party software is subject to its</w:t>
      </w:r>
      <w:r>
        <w:t xml:space="preserve"> </w:t>
      </w:r>
      <w:r>
        <w:t xml:space="preserve">retained license notices. Nothing here removes rights that applicable</w:t>
      </w:r>
      <w:r>
        <w:t xml:space="preserve"> </w:t>
      </w:r>
      <w:r>
        <w:t xml:space="preserve">law makes nonwaivable.</w:t>
      </w:r>
    </w:p>
    <w:bookmarkEnd w:id="82"/>
    <w:bookmarkStart w:id="83" w:name="support-and-incident-reporting"/>
    <w:p>
      <w:pPr>
        <w:pStyle w:val="Heading3"/>
      </w:pPr>
      <w:r>
        <w:t xml:space="preserve">Support and incident</w:t>
      </w:r>
      <w:r>
        <w:t xml:space="preserve"> </w:t>
      </w:r>
      <w:r>
        <w:t xml:space="preserve">reporting</w:t>
      </w:r>
    </w:p>
    <w:p>
      <w:pPr>
        <w:pStyle w:val="FirstParagraph"/>
      </w:pPr>
      <w:r>
        <w:t xml:space="preserve">Use the project’s existing SUPPORT and SECURITY guidance for its</w:t>
      </w:r>
      <w:r>
        <w:t xml:space="preserve"> </w:t>
      </w:r>
      <w:r>
        <w:t xml:space="preserve">matching repository. Report reproducible behavior with the version,</w:t>
      </w:r>
      <w:r>
        <w:t xml:space="preserve"> </w:t>
      </w:r>
      <w:r>
        <w:t xml:space="preserve">operation and redacted logs. Do not put credentials, resident records or</w:t>
      </w:r>
      <w:r>
        <w:t xml:space="preserve"> </w:t>
      </w:r>
      <w:r>
        <w:t xml:space="preserve">unredacted evidence in a public issue. Coordinate sensitive reports</w:t>
      </w:r>
      <w:r>
        <w:t xml:space="preserve"> </w:t>
      </w:r>
      <w:r>
        <w:t xml:space="preserve">through the channel designated in SECURITY. No new support address or</w:t>
      </w:r>
      <w:r>
        <w:t xml:space="preserve"> </w:t>
      </w:r>
      <w:r>
        <w:t xml:space="preserve">service commitment is invented here.</w:t>
      </w:r>
    </w:p>
    <w:bookmarkEnd w:id="83"/>
    <w:bookmarkStart w:id="84" w:name="X31f05bddf6aa9d1ff47b7e67ed4759e27e0b8e9"/>
    <w:p>
      <w:pPr>
        <w:pStyle w:val="Heading3"/>
      </w:pPr>
      <w:r>
        <w:t xml:space="preserve">Ending a beta</w:t>
      </w:r>
      <w:r>
        <w:t xml:space="preserve"> </w:t>
      </w:r>
      <w:r>
        <w:t xml:space="preserve">exercise and document changes</w:t>
      </w:r>
    </w:p>
    <w:p>
      <w:pPr>
        <w:pStyle w:val="FirstParagraph"/>
      </w:pPr>
      <w:r>
        <w:t xml:space="preserve">When an organization ends testing, it controls retention/export and</w:t>
      </w:r>
      <w:r>
        <w:t xml:space="preserve"> </w:t>
      </w:r>
      <w:r>
        <w:t xml:space="preserve">removes access according to its policy. Uninstall may retain data; back</w:t>
      </w:r>
      <w:r>
        <w:t xml:space="preserve"> </w:t>
      </w:r>
      <w:r>
        <w:t xml:space="preserve">up and inspect the selected removal options. Ending an exercise does not</w:t>
      </w:r>
      <w:r>
        <w:t xml:space="preserve"> </w:t>
      </w:r>
      <w:r>
        <w:t xml:space="preserve">revoke rights already granted by AGPL. Later software/documentation</w:t>
      </w:r>
      <w:r>
        <w:t xml:space="preserve"> </w:t>
      </w:r>
      <w:r>
        <w:t xml:space="preserve">versions must identify their changed candidate and scope; historical</w:t>
      </w:r>
      <w:r>
        <w:t xml:space="preserve"> </w:t>
      </w:r>
      <w:r>
        <w:t xml:space="preserve">receipts retain their original identities. These terms do not claim that</w:t>
      </w:r>
      <w:r>
        <w:t xml:space="preserve"> </w:t>
      </w:r>
      <w:r>
        <w:t xml:space="preserve">a city has accepted a contract merely by reading a manual.</w:t>
      </w:r>
    </w:p>
    <w:bookmarkEnd w:id="84"/>
    <w:bookmarkEnd w:id="85"/>
    <w:bookmarkStart w:id="86" w:name="glossary"/>
    <w:p>
      <w:pPr>
        <w:pStyle w:val="Heading2"/>
      </w:pPr>
      <w:r>
        <w:t xml:space="preserve">Glossary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Approval</w:t>
            </w:r>
          </w:p>
        </w:tc>
        <w:tc>
          <w:tcPr/>
          <w:p>
            <w:pPr>
              <w:pStyle w:val="Compact"/>
            </w:pPr>
            <w:r>
              <w:t xml:space="preserve">An explicit authorized decision on the saved text/artifact. It is</w:t>
            </w:r>
            <w:r>
              <w:t xml:space="preserve"> </w:t>
            </w:r>
            <w:r>
              <w:t xml:space="preserve">separate from saving or attachment.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Canonical record</w:t>
            </w:r>
          </w:p>
        </w:tc>
        <w:tc>
          <w:tcPr/>
          <w:p>
            <w:pPr>
              <w:pStyle w:val="Compact"/>
            </w:pPr>
            <w:r>
              <w:t xml:space="preserve">The owning product’s retained identity and saved version, rather</w:t>
            </w:r>
            <w:r>
              <w:t xml:space="preserve"> </w:t>
            </w:r>
            <w:r>
              <w:t xml:space="preserve">than an editable copied label.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Composition</w:t>
            </w:r>
          </w:p>
        </w:tc>
        <w:tc>
          <w:tcPr/>
          <w:p>
            <w:pPr>
              <w:pStyle w:val="Compact"/>
            </w:pPr>
            <w:r>
              <w:t xml:space="preserve">The selected set of desktop modules; inspections-preview exposes the</w:t>
            </w:r>
            <w:r>
              <w:t xml:space="preserve"> </w:t>
            </w:r>
            <w:r>
              <w:t xml:space="preserve">eight staff products.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Corresponding source</w:t>
            </w:r>
          </w:p>
        </w:tc>
        <w:tc>
          <w:tcPr/>
          <w:p>
            <w:pPr>
              <w:pStyle w:val="Compact"/>
            </w:pPr>
            <w:r>
              <w:t xml:space="preserve">The source/build material matching the delivered covered program,</w:t>
            </w:r>
            <w:r>
              <w:t xml:space="preserve"> </w:t>
            </w:r>
            <w:r>
              <w:t xml:space="preserve">subject to its license.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Derivative / Records copy</w:t>
            </w:r>
          </w:p>
        </w:tc>
        <w:tc>
          <w:tcPr/>
          <w:p>
            <w:pPr>
              <w:pStyle w:val="Compact"/>
            </w:pPr>
            <w:r>
              <w:t xml:space="preserve">A separately prepared document with its own intended audience and</w:t>
            </w:r>
            <w:r>
              <w:t xml:space="preserve"> </w:t>
            </w:r>
            <w:r>
              <w:t xml:space="preserve">hash.</w:t>
            </w:r>
          </w:p>
        </w:tc>
      </w:tr>
      <w:tr>
        <w:tc>
          <w:tcPr/>
          <w:p>
            <w:pPr>
              <w:pStyle w:val="Compact"/>
            </w:pPr>
            <w:r>
              <w:t xml:space="preserve">Hash / SHA256</w:t>
            </w:r>
          </w:p>
        </w:tc>
        <w:tc>
          <w:tcPr/>
          <w:p>
            <w:pPr>
              <w:pStyle w:val="Compact"/>
            </w:pPr>
            <w:r>
              <w:t xml:space="preserve">A fingerprint of exact bytes. It detects change; it does not</w:t>
            </w:r>
            <w:r>
              <w:t xml:space="preserve"> </w:t>
            </w:r>
            <w:r>
              <w:t xml:space="preserve">establish legal authority.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Idempotency</w:t>
            </w:r>
          </w:p>
        </w:tc>
        <w:tc>
          <w:tcPr/>
          <w:p>
            <w:pPr>
              <w:pStyle w:val="Compact"/>
            </w:pPr>
            <w:r>
              <w:t xml:space="preserve">Repeating the same identified request has the same intended effect;</w:t>
            </w:r>
            <w:r>
              <w:t xml:space="preserve"> </w:t>
            </w:r>
            <w:r>
              <w:t xml:space="preserve">changing its payload can be refused.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IPC</w:t>
            </w:r>
          </w:p>
        </w:tc>
        <w:tc>
          <w:tcPr/>
          <w:p>
            <w:pPr>
              <w:pStyle w:val="Compact"/>
            </w:pPr>
            <w:r>
              <w:t xml:space="preserve">The native desktop command boundary between its browser interface</w:t>
            </w:r>
            <w:r>
              <w:t xml:space="preserve"> </w:t>
            </w:r>
            <w:r>
              <w:t xml:space="preserve">and Rust host.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MCP</w:t>
            </w:r>
          </w:p>
        </w:tc>
        <w:tc>
          <w:tcPr/>
          <w:p>
            <w:pPr>
              <w:pStyle w:val="Compact"/>
            </w:pPr>
            <w:r>
              <w:t xml:space="preserve">Model Context Protocol; no direct Townlight product server is</w:t>
            </w:r>
            <w:r>
              <w:t xml:space="preserve"> </w:t>
            </w:r>
            <w:r>
              <w:t xml:space="preserve">enabled by this beta.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Original</w:t>
            </w:r>
          </w:p>
        </w:tc>
        <w:tc>
          <w:tcPr/>
          <w:p>
            <w:pPr>
              <w:pStyle w:val="Compact"/>
            </w:pPr>
            <w:r>
              <w:t xml:space="preserve">Retained source bytes. A reviewed derivative does not replace</w:t>
            </w:r>
            <w:r>
              <w:t xml:space="preserve"> </w:t>
            </w:r>
            <w:r>
              <w:t xml:space="preserve">them.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Provenance</w:t>
            </w:r>
          </w:p>
        </w:tc>
        <w:tc>
          <w:tcPr/>
          <w:p>
            <w:pPr>
              <w:pStyle w:val="Compact"/>
            </w:pPr>
            <w:r>
              <w:t xml:space="preserve">Source, version, date, actor and relationship information retained</w:t>
            </w:r>
            <w:r>
              <w:t xml:space="preserve"> </w:t>
            </w:r>
            <w:r>
              <w:t xml:space="preserve">with evidence.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Revision</w:t>
            </w:r>
          </w:p>
        </w:tc>
        <w:tc>
          <w:tcPr/>
          <w:p>
            <w:pPr>
              <w:pStyle w:val="Compact"/>
            </w:pPr>
            <w:r>
              <w:t xml:space="preserve">An immutable saved version. Later edits do not inherit an earlier</w:t>
            </w:r>
            <w:r>
              <w:t xml:space="preserve"> </w:t>
            </w:r>
            <w:r>
              <w:t xml:space="preserve">review automatically.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Snapshot</w:t>
            </w:r>
          </w:p>
        </w:tc>
        <w:tc>
          <w:tcPr/>
          <w:p>
            <w:pPr>
              <w:pStyle w:val="Compact"/>
            </w:pPr>
            <w:r>
              <w:t xml:space="preserve">A fixed audience-specific copy tied to a source/reviewed</w:t>
            </w:r>
            <w:r>
              <w:t xml:space="preserve"> </w:t>
            </w:r>
            <w:r>
              <w:t xml:space="preserve">revision.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Station</w:t>
            </w:r>
          </w:p>
        </w:tc>
        <w:tc>
          <w:tcPr/>
          <w:p>
            <w:pPr>
              <w:pStyle w:val="Compact"/>
            </w:pPr>
            <w:r>
              <w:t xml:space="preserve">Townlight’s separate media boundary using a pinned CivicCast-derived</w:t>
            </w:r>
            <w:r>
              <w:t xml:space="preserve"> </w:t>
            </w:r>
            <w:r>
              <w:t xml:space="preserve">engine; standalone CivicCast remains separate.</w:t>
            </w:r>
          </w:p>
        </w:tc>
      </w:tr>
    </w:tbl>
    <w:bookmarkEnd w:id="86"/>
    <w:bookmarkStart w:id="88" w:name="alphabetical-subject-index"/>
    <w:p>
      <w:pPr>
        <w:pStyle w:val="Heading2"/>
      </w:pPr>
      <w:r>
        <w:t xml:space="preserve">Alphabetical subject index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Accounts and authentication</w:t>
      </w:r>
      <w:r>
        <w:t xml:space="preserve"> </w:t>
      </w:r>
      <w:r>
        <w:t xml:space="preserve">—</w:t>
      </w:r>
      <w:r>
        <w:t xml:space="preserve"> </w:t>
      </w:r>
      <w:hyperlink w:anchor="security-and-permissions">
        <w:r>
          <w:rPr>
            <w:rStyle w:val="Hyperlink"/>
          </w:rPr>
          <w:t xml:space="preserve">Security and permissions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AGPL and source</w:t>
      </w:r>
      <w:r>
        <w:t xml:space="preserve"> </w:t>
      </w:r>
      <w:r>
        <w:t xml:space="preserve">—</w:t>
      </w:r>
      <w:r>
        <w:t xml:space="preserve"> </w:t>
      </w:r>
      <w:hyperlink w:anchor="terms-of-service-and-license">
        <w:r>
          <w:rPr>
            <w:rStyle w:val="Hyperlink"/>
          </w:rPr>
          <w:t xml:space="preserve">Terms of service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license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API contracts</w:t>
      </w:r>
      <w:r>
        <w:t xml:space="preserve"> </w:t>
      </w:r>
      <w:r>
        <w:t xml:space="preserve">—</w:t>
      </w:r>
      <w:r>
        <w:t xml:space="preserve"> </w:t>
      </w:r>
      <w:hyperlink w:anchor="api-and-integration-examples">
        <w:r>
          <w:rPr>
            <w:rStyle w:val="Hyperlink"/>
          </w:rPr>
          <w:t xml:space="preserve">API and integration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examples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Architecture</w:t>
      </w:r>
      <w:r>
        <w:t xml:space="preserve"> </w:t>
      </w:r>
      <w:r>
        <w:t xml:space="preserve">—</w:t>
      </w:r>
      <w:r>
        <w:t xml:space="preserve"> </w:t>
      </w:r>
      <w:hyperlink w:anchor="architecture">
        <w:r>
          <w:rPr>
            <w:rStyle w:val="Hyperlink"/>
          </w:rPr>
          <w:t xml:space="preserve">Architecture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Backup</w:t>
      </w:r>
      <w:r>
        <w:t xml:space="preserve"> </w:t>
      </w:r>
      <w:r>
        <w:t xml:space="preserve">—</w:t>
      </w:r>
      <w:r>
        <w:t xml:space="preserve"> </w:t>
      </w:r>
      <w:hyperlink w:anchor="backup-recovery-and-maintenance">
        <w:r>
          <w:rPr>
            <w:rStyle w:val="Hyperlink"/>
          </w:rPr>
          <w:t xml:space="preserve">Backup recovery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maintenance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Beta version</w:t>
      </w:r>
      <w:r>
        <w:t xml:space="preserve"> </w:t>
      </w:r>
      <w:r>
        <w:t xml:space="preserve">—</w:t>
      </w:r>
      <w:r>
        <w:t xml:space="preserve"> </w:t>
      </w:r>
      <w:hyperlink w:anchor="beta-identity">
        <w:r>
          <w:rPr>
            <w:rStyle w:val="Hyperlink"/>
          </w:rPr>
          <w:t xml:space="preserve">Beta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identity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Configuration</w:t>
      </w:r>
      <w:r>
        <w:t xml:space="preserve"> </w:t>
      </w:r>
      <w:r>
        <w:t xml:space="preserve">—</w:t>
      </w:r>
      <w:r>
        <w:t xml:space="preserve"> </w:t>
      </w:r>
      <w:hyperlink w:anchor="configuration-and-administration">
        <w:r>
          <w:rPr>
            <w:rStyle w:val="Hyperlink"/>
          </w:rPr>
          <w:t xml:space="preserve">Configuration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administration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Evidence and acceptance</w:t>
      </w:r>
      <w:r>
        <w:t xml:space="preserve"> </w:t>
      </w:r>
      <w:r>
        <w:t xml:space="preserve">—</w:t>
      </w:r>
      <w:r>
        <w:t xml:space="preserve"> </w:t>
      </w:r>
      <w:hyperlink w:anchor="verified-workflows-and-limits">
        <w:r>
          <w:rPr>
            <w:rStyle w:val="Hyperlink"/>
          </w:rPr>
          <w:t xml:space="preserve">Verified workflows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limits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Fees and official decisions</w:t>
      </w:r>
      <w:r>
        <w:t xml:space="preserve"> </w:t>
      </w:r>
      <w:r>
        <w:t xml:space="preserve">—</w:t>
      </w:r>
      <w:r>
        <w:t xml:space="preserve"> </w:t>
      </w:r>
      <w:hyperlink w:anchor="terms-of-service-and-license">
        <w:r>
          <w:rPr>
            <w:rStyle w:val="Hyperlink"/>
          </w:rPr>
          <w:t xml:space="preserve">Terms of service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license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First run</w:t>
      </w:r>
      <w:r>
        <w:t xml:space="preserve"> </w:t>
      </w:r>
      <w:r>
        <w:t xml:space="preserve">—</w:t>
      </w:r>
      <w:r>
        <w:t xml:space="preserve"> </w:t>
      </w:r>
      <w:hyperlink w:anchor="first-run">
        <w:r>
          <w:rPr>
            <w:rStyle w:val="Hyperlink"/>
          </w:rPr>
          <w:t xml:space="preserve">First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run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Handoffs and audience</w:t>
      </w:r>
      <w:r>
        <w:t xml:space="preserve"> </w:t>
      </w:r>
      <w:r>
        <w:t xml:space="preserve">—</w:t>
      </w:r>
      <w:r>
        <w:t xml:space="preserve"> </w:t>
      </w:r>
      <w:hyperlink w:anchor="connected-workflows">
        <w:r>
          <w:rPr>
            <w:rStyle w:val="Hyperlink"/>
          </w:rPr>
          <w:t xml:space="preserve">Connected workflows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MCP</w:t>
      </w:r>
      <w:r>
        <w:t xml:space="preserve"> </w:t>
      </w:r>
      <w:r>
        <w:t xml:space="preserve">—</w:t>
      </w:r>
      <w:r>
        <w:t xml:space="preserve"> </w:t>
      </w:r>
      <w:hyperlink w:anchor="mcp-and-automation-boundary">
        <w:r>
          <w:rPr>
            <w:rStyle w:val="Hyperlink"/>
          </w:rPr>
          <w:t xml:space="preserve">MCP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and automation boundary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Originals and provenance</w:t>
      </w:r>
      <w:r>
        <w:t xml:space="preserve"> </w:t>
      </w:r>
      <w:r>
        <w:t xml:space="preserve">—</w:t>
      </w:r>
      <w:r>
        <w:t xml:space="preserve"> </w:t>
      </w:r>
      <w:hyperlink w:anchor="security-and-permissions">
        <w:r>
          <w:rPr>
            <w:rStyle w:val="Hyperlink"/>
          </w:rPr>
          <w:t xml:space="preserve">Security and permissions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Recovery</w:t>
      </w:r>
      <w:r>
        <w:t xml:space="preserve"> </w:t>
      </w:r>
      <w:r>
        <w:t xml:space="preserve">—</w:t>
      </w:r>
      <w:r>
        <w:t xml:space="preserve"> </w:t>
      </w:r>
      <w:hyperlink w:anchor="backup-recovery-and-maintenance">
        <w:r>
          <w:rPr>
            <w:rStyle w:val="Hyperlink"/>
          </w:rPr>
          <w:t xml:space="preserve">Backup recovery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maintenance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Staff procedures</w:t>
      </w:r>
      <w:r>
        <w:t xml:space="preserve"> </w:t>
      </w:r>
      <w:r>
        <w:t xml:space="preserve">—</w:t>
      </w:r>
      <w:r>
        <w:t xml:space="preserve"> </w:t>
      </w:r>
      <w:hyperlink w:anchor="daily-workflow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Station configuration</w:t>
      </w:r>
      <w:r>
        <w:t xml:space="preserve"> </w:t>
      </w:r>
      <w:r>
        <w:t xml:space="preserve">—</w:t>
      </w:r>
      <w:r>
        <w:t xml:space="preserve"> </w:t>
      </w:r>
      <w:hyperlink w:anchor="configuration-and-administration">
        <w:r>
          <w:rPr>
            <w:rStyle w:val="Hyperlink"/>
          </w:rPr>
          <w:t xml:space="preserve">Configuration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administration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Technical stack</w:t>
      </w:r>
      <w:r>
        <w:t xml:space="preserve"> </w:t>
      </w:r>
      <w:r>
        <w:t xml:space="preserve">—</w:t>
      </w:r>
      <w:r>
        <w:t xml:space="preserve"> </w:t>
      </w:r>
      <w:hyperlink w:anchor="technical-specifications">
        <w:r>
          <w:rPr>
            <w:rStyle w:val="Hyperlink"/>
          </w:rPr>
          <w:t xml:space="preserve">Technical specifications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Troubleshooting</w:t>
      </w:r>
      <w:r>
        <w:t xml:space="preserve"> </w:t>
      </w:r>
      <w:r>
        <w:t xml:space="preserve">—</w:t>
      </w:r>
      <w:r>
        <w:t xml:space="preserve"> </w:t>
      </w:r>
      <w:hyperlink w:anchor="troubleshooting">
        <w:r>
          <w:rPr>
            <w:rStyle w:val="Hyperlink"/>
          </w:rPr>
          <w:t xml:space="preserve">Troubleshooting</w:t>
        </w:r>
      </w:hyperlink>
      <w:r>
        <w:t xml:space="preserve">.</w:t>
      </w:r>
    </w:p>
    <w:bookmarkStart w:id="87" w:name="operating-subject-links"/>
    <w:p>
      <w:pPr>
        <w:pStyle w:val="Heading3"/>
      </w:pPr>
      <w:r>
        <w:t xml:space="preserve">Operating subject links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Configure templates and inspect the outbox</w:t>
      </w:r>
      <w:r>
        <w:t xml:space="preserve"> </w:t>
      </w:r>
      <w:r>
        <w:t xml:space="preserve">—</w:t>
      </w:r>
      <w:r>
        <w:t xml:space="preserve"> </w:t>
      </w:r>
      <w:hyperlink w:anchor="X950cc1dac1b4e51bbf9fdce43224b2c25fb5c67">
        <w:r>
          <w:rPr>
            <w:rStyle w:val="Hyperlink"/>
          </w:rPr>
          <w:t xml:space="preserve">Configure templates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and inspect the outbox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Exercise existing local public intake and tracking</w:t>
      </w:r>
      <w:r>
        <w:t xml:space="preserve"> </w:t>
      </w:r>
      <w:r>
        <w:t xml:space="preserve">—</w:t>
      </w:r>
      <w:r>
        <w:t xml:space="preserve"> </w:t>
      </w:r>
      <w:hyperlink w:anchor="X13ca1f09f0bb4eabec9d13d9fcfdb8b1f1c2489">
        <w:r>
          <w:rPr>
            <w:rStyle w:val="Hyperlink"/>
          </w:rPr>
          <w:t xml:space="preserve">Exercise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existing local public intake and tracking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Fees messages notifications and local intake</w:t>
      </w:r>
      <w:r>
        <w:t xml:space="preserve"> </w:t>
      </w:r>
      <w:r>
        <w:t xml:space="preserve">—</w:t>
      </w:r>
      <w:r>
        <w:t xml:space="preserve"> </w:t>
      </w:r>
      <w:hyperlink w:anchor="X76b967ecaf2ea2beb74ae290cac52c3299e8aac">
        <w:r>
          <w:rPr>
            <w:rStyle w:val="Hyperlink"/>
          </w:rPr>
          <w:t xml:space="preserve">Fees messages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notifications and local intake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Record a fee line or waiver</w:t>
      </w:r>
      <w:r>
        <w:t xml:space="preserve"> </w:t>
      </w:r>
      <w:r>
        <w:t xml:space="preserve">—</w:t>
      </w:r>
      <w:r>
        <w:t xml:space="preserve"> </w:t>
      </w:r>
      <w:hyperlink w:anchor="record-a-fee-line-or-waiver">
        <w:r>
          <w:rPr>
            <w:rStyle w:val="Hyperlink"/>
          </w:rPr>
          <w:t xml:space="preserve">Record a fee line or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waiver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Save staff and requester messages</w:t>
      </w:r>
      <w:r>
        <w:t xml:space="preserve"> </w:t>
      </w:r>
      <w:r>
        <w:t xml:space="preserve">—</w:t>
      </w:r>
      <w:r>
        <w:t xml:space="preserve"> </w:t>
      </w:r>
      <w:hyperlink w:anchor="save-staff-and-requester-messages">
        <w:r>
          <w:rPr>
            <w:rStyle w:val="Hyperlink"/>
          </w:rPr>
          <w:t xml:space="preserve">Save staff and requester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messages</w:t>
        </w:r>
      </w:hyperlink>
      <w:r>
        <w:t xml:space="preserve">.</w:t>
      </w:r>
    </w:p>
    <w:bookmarkEnd w:id="87"/>
    <w:bookmarkEnd w:id="88"/>
    <w:bookmarkStart w:id="95" w:name="source-and-document-control"/>
    <w:p>
      <w:pPr>
        <w:pStyle w:val="Heading2"/>
      </w:pPr>
      <w:r>
        <w:t xml:space="preserve">Source and document control</w:t>
      </w:r>
    </w:p>
    <w:p>
      <w:pPr>
        <w:pStyle w:val="FirstParagraph"/>
      </w:pPr>
      <w:r>
        <w:t xml:space="preserve">This edition is authored from the immutable corresponding-source</w:t>
      </w:r>
      <w:r>
        <w:t xml:space="preserve"> </w:t>
      </w:r>
      <w:r>
        <w:t xml:space="preserve">companion, the generated installed-domain schema and the retained</w:t>
      </w:r>
      <w:r>
        <w:t xml:space="preserve"> </w:t>
      </w:r>
      <w:r>
        <w:t xml:space="preserve">workflow receipts. The current software versions and signed artifacts</w:t>
      </w:r>
      <w:r>
        <w:t xml:space="preserve"> </w:t>
      </w:r>
      <w:r>
        <w:t xml:space="preserve">are unchanged. Public historical pages are not synchronized or published</w:t>
      </w:r>
      <w:r>
        <w:t xml:space="preserve"> </w:t>
      </w:r>
      <w:r>
        <w:t xml:space="preserve">by this local documentation task.</w:t>
      </w:r>
    </w:p>
    <w:bookmarkStart w:id="94" w:name="workflow-subject-index"/>
    <w:p>
      <w:pPr>
        <w:pStyle w:val="Heading3"/>
      </w:pPr>
      <w:r>
        <w:t xml:space="preserve">Workflow subject index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Draft and approve</w:t>
      </w:r>
      <w:r>
        <w:t xml:space="preserve"> </w:t>
      </w:r>
      <w:r>
        <w:t xml:space="preserve">—</w:t>
      </w:r>
      <w:r>
        <w:t xml:space="preserve"> </w:t>
      </w:r>
      <w:hyperlink w:anchor="workflow-5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workflow, step 5</w:t>
        </w:r>
      </w:hyperlink>
      <w:r>
        <w:t xml:space="preserve">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Export both artifacts</w:t>
      </w:r>
      <w:r>
        <w:t xml:space="preserve"> </w:t>
      </w:r>
      <w:r>
        <w:t xml:space="preserve">—</w:t>
      </w:r>
      <w:r>
        <w:t xml:space="preserve"> </w:t>
      </w:r>
      <w:hyperlink w:anchor="workflow-6">
        <w:r>
          <w:rPr>
            <w:rStyle w:val="Hyperlink"/>
          </w:rPr>
          <w:t xml:space="preserve">Daily workflow, step 6</w:t>
        </w:r>
      </w:hyperlink>
      <w:r>
        <w:t xml:space="preserve">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Find responsive evidence</w:t>
      </w:r>
      <w:r>
        <w:t xml:space="preserve"> </w:t>
      </w:r>
      <w:r>
        <w:t xml:space="preserve">—</w:t>
      </w:r>
      <w:r>
        <w:t xml:space="preserve"> </w:t>
      </w:r>
      <w:hyperlink w:anchor="workflow-2">
        <w:r>
          <w:rPr>
            <w:rStyle w:val="Hyperlink"/>
          </w:rPr>
          <w:t xml:space="preserve">Daily workflow, step 2</w:t>
        </w:r>
      </w:hyperlink>
      <w:r>
        <w:t xml:space="preserve">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Fulfill and retain</w:t>
      </w:r>
      <w:r>
        <w:t xml:space="preserve"> </w:t>
      </w:r>
      <w:r>
        <w:t xml:space="preserve">—</w:t>
      </w:r>
      <w:r>
        <w:t xml:space="preserve"> </w:t>
      </w:r>
      <w:hyperlink w:anchor="workflow-7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workflow, step 7</w:t>
        </w:r>
      </w:hyperlink>
      <w:r>
        <w:t xml:space="preserve">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Preserve the original</w:t>
      </w:r>
      <w:r>
        <w:t xml:space="preserve"> </w:t>
      </w:r>
      <w:r>
        <w:t xml:space="preserve">—</w:t>
      </w:r>
      <w:r>
        <w:t xml:space="preserve"> </w:t>
      </w:r>
      <w:hyperlink w:anchor="workflow-3">
        <w:r>
          <w:rPr>
            <w:rStyle w:val="Hyperlink"/>
          </w:rPr>
          <w:t xml:space="preserve">Daily workflow, step 3</w:t>
        </w:r>
      </w:hyperlink>
      <w:r>
        <w:t xml:space="preserve">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Receive and identify the request</w:t>
      </w:r>
      <w:r>
        <w:t xml:space="preserve"> </w:t>
      </w:r>
      <w:r>
        <w:t xml:space="preserve">—</w:t>
      </w:r>
      <w:r>
        <w:t xml:space="preserve"> </w:t>
      </w:r>
      <w:hyperlink w:anchor="workflow-1">
        <w:r>
          <w:rPr>
            <w:rStyle w:val="Hyperlink"/>
          </w:rPr>
          <w:t xml:space="preserve">Daily workflow, step 1</w:t>
        </w:r>
      </w:hyperlink>
      <w:r>
        <w:t xml:space="preserve">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Record each release decision</w:t>
      </w:r>
      <w:r>
        <w:t xml:space="preserve"> </w:t>
      </w:r>
      <w:r>
        <w:t xml:space="preserve">—</w:t>
      </w:r>
      <w:r>
        <w:t xml:space="preserve"> </w:t>
      </w:r>
      <w:hyperlink w:anchor="workflow-4">
        <w:r>
          <w:rPr>
            <w:rStyle w:val="Hyperlink"/>
          </w:rPr>
          <w:t xml:space="preserve">Daily workflow, step 4</w:t>
        </w:r>
      </w:hyperlink>
      <w:r>
        <w:t xml:space="preserve">.</w:t>
      </w:r>
    </w:p>
    <w:p>
      <w:pPr>
        <w:numPr>
          <w:ilvl w:val="0"/>
          <w:numId w:val="1007"/>
        </w:numPr>
      </w:pPr>
      <w:hyperlink r:id="rId89">
        <w:r>
          <w:rPr>
            <w:rStyle w:val="Hyperlink"/>
          </w:rPr>
          <w:t xml:space="preserve">Source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inventory and file hashes</w:t>
        </w:r>
      </w:hyperlink>
    </w:p>
    <w:p>
      <w:pPr>
        <w:numPr>
          <w:ilvl w:val="0"/>
          <w:numId w:val="1007"/>
        </w:numPr>
      </w:pPr>
      <w:hyperlink r:id="rId49">
        <w:r>
          <w:rPr>
            <w:rStyle w:val="Hyperlink"/>
          </w:rPr>
          <w:t xml:space="preserve">All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component metadata</w:t>
        </w:r>
      </w:hyperlink>
    </w:p>
    <w:p>
      <w:pPr>
        <w:numPr>
          <w:ilvl w:val="0"/>
          <w:numId w:val="1007"/>
        </w:numPr>
      </w:pPr>
      <w:hyperlink r:id="rId90">
        <w:r>
          <w:rPr>
            <w:rStyle w:val="Hyperlink"/>
          </w:rPr>
          <w:t xml:space="preserve">Installed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domain OpenAPI</w:t>
        </w:r>
      </w:hyperlink>
    </w:p>
    <w:p>
      <w:pPr>
        <w:numPr>
          <w:ilvl w:val="0"/>
          <w:numId w:val="1007"/>
        </w:numPr>
      </w:pPr>
      <w:hyperlink r:id="rId91">
        <w:r>
          <w:rPr>
            <w:rStyle w:val="Hyperlink"/>
          </w:rPr>
          <w:t xml:space="preserve">Workflow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matrix</w:t>
        </w:r>
      </w:hyperlink>
    </w:p>
    <w:p>
      <w:pPr>
        <w:numPr>
          <w:ilvl w:val="0"/>
          <w:numId w:val="1007"/>
        </w:numPr>
      </w:pPr>
      <w:hyperlink r:id="rId92">
        <w:r>
          <w:rPr>
            <w:rStyle w:val="Hyperlink"/>
          </w:rPr>
          <w:t xml:space="preserve">Full AGPL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text</w:t>
        </w:r>
      </w:hyperlink>
    </w:p>
    <w:p>
      <w:pPr>
        <w:pStyle w:val="FirstParagraph"/>
      </w:pPr>
      <w:r>
        <w:t xml:space="preserve">The resident portal is deployed separately. See the</w:t>
      </w:r>
      <w:r>
        <w:t xml:space="preserve"> </w:t>
      </w:r>
      <w:hyperlink r:id="rId93">
        <w:r>
          <w:rPr>
            <w:rStyle w:val="Hyperlink"/>
          </w:rPr>
          <w:t xml:space="preserve">Townlight Portal Guide</w:t>
        </w:r>
      </w:hyperlink>
      <w:r>
        <w:t xml:space="preserve"> </w:t>
      </w:r>
      <w:r>
        <w:t xml:space="preserve">for its workflow and acceptance limits.</w:t>
      </w:r>
    </w:p>
    <w:bookmarkEnd w:id="94"/>
    <w:bookmarkEnd w:id="95"/>
    <w:bookmarkEnd w:id="9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4" Target="media/rId34.png" /><Relationship Type="http://schemas.openxmlformats.org/officeDocument/2006/relationships/hyperlink" Id="rId13" Target="https://github.com/townlight/townlight/releases/download/townlight-beta-1-windows-1.7.0.1/ACCEPTANCE-Windows-1.7.0.1.md" TargetMode="External" /><Relationship Type="http://schemas.openxmlformats.org/officeDocument/2006/relationships/hyperlink" Id="rId12" Target="https://github.com/townlight/townlight/releases/download/townlight-beta-1-windows-1.7.0.1/SHA256SUMS-Windows-1.7.0.1.txt" TargetMode="External" /><Relationship Type="http://schemas.openxmlformats.org/officeDocument/2006/relationships/hyperlink" Id="rId9" Target="https://github.com/townlight/townlight/releases/tag/townlight-beta-1-windows-1.7.0.1" TargetMode="External" /><Relationship Type="http://schemas.openxmlformats.org/officeDocument/2006/relationships/hyperlink" Id="rId62" Target="https://townlight.github.io/api/records-openapi.json" TargetMode="External" /><Relationship Type="http://schemas.openxmlformats.org/officeDocument/2006/relationships/hyperlink" Id="rId61" Target="https://townlight.github.io/api/records.html" TargetMode="External" /><Relationship Type="http://schemas.openxmlformats.org/officeDocument/2006/relationships/hyperlink" Id="rId93" Target="https://townlight.github.io/manuals/portal.html" TargetMode="External" /><Relationship Type="http://schemas.openxmlformats.org/officeDocument/2006/relationships/hyperlink" Id="rId92" Target="https://townlight.github.io/reference/AGPL-3.0.txt" TargetMode="External" /><Relationship Type="http://schemas.openxmlformats.org/officeDocument/2006/relationships/hyperlink" Id="rId49" Target="https://townlight.github.io/reference/component-metadata.json" TargetMode="External" /><Relationship Type="http://schemas.openxmlformats.org/officeDocument/2006/relationships/hyperlink" Id="rId90" Target="https://townlight.github.io/reference/desktop-domain-openapi.json" TargetMode="External" /><Relationship Type="http://schemas.openxmlformats.org/officeDocument/2006/relationships/hyperlink" Id="rId63" Target="https://townlight.github.io/reference/index.html" TargetMode="External" /><Relationship Type="http://schemas.openxmlformats.org/officeDocument/2006/relationships/hyperlink" Id="rId67" Target="https://townlight.github.io/reference/mcp.html" TargetMode="External" /><Relationship Type="http://schemas.openxmlformats.org/officeDocument/2006/relationships/hyperlink" Id="rId48" Target="https://townlight.github.io/reference/runtime-payload-lock.json" TargetMode="External" /><Relationship Type="http://schemas.openxmlformats.org/officeDocument/2006/relationships/hyperlink" Id="rId72" Target="https://townlight.github.io/reference/sandbox-evidence-index.json" TargetMode="External" /><Relationship Type="http://schemas.openxmlformats.org/officeDocument/2006/relationships/hyperlink" Id="rId89" Target="https://townlight.github.io/reference/source-inventory.json" TargetMode="External" /><Relationship Type="http://schemas.openxmlformats.org/officeDocument/2006/relationships/hyperlink" Id="rId91" Target="https://townlight.github.io/reference/workflow-matrix.json" TargetMode="External" /><Relationship Type="http://schemas.openxmlformats.org/officeDocument/2006/relationships/hyperlink" Id="rId75" Target="https://www.gnu.org/licenses/agpl-3.0.html" TargetMode="External" /><Relationship Type="http://schemas.openxmlformats.org/officeDocument/2006/relationships/hyperlink" Id="rId76" Target="https://www.gnu.org/licenses/gpl-faq.en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https://github.com/townlight/townlight/releases/download/townlight-beta-1-windows-1.7.0.1/ACCEPTANCE-Windows-1.7.0.1.md" TargetMode="External" /><Relationship Type="http://schemas.openxmlformats.org/officeDocument/2006/relationships/hyperlink" Id="rId12" Target="https://github.com/townlight/townlight/releases/download/townlight-beta-1-windows-1.7.0.1/SHA256SUMS-Windows-1.7.0.1.txt" TargetMode="External" /><Relationship Type="http://schemas.openxmlformats.org/officeDocument/2006/relationships/hyperlink" Id="rId9" Target="https://github.com/townlight/townlight/releases/tag/townlight-beta-1-windows-1.7.0.1" TargetMode="External" /><Relationship Type="http://schemas.openxmlformats.org/officeDocument/2006/relationships/hyperlink" Id="rId62" Target="https://townlight.github.io/api/records-openapi.json" TargetMode="External" /><Relationship Type="http://schemas.openxmlformats.org/officeDocument/2006/relationships/hyperlink" Id="rId61" Target="https://townlight.github.io/api/records.html" TargetMode="External" /><Relationship Type="http://schemas.openxmlformats.org/officeDocument/2006/relationships/hyperlink" Id="rId93" Target="https://townlight.github.io/manuals/portal.html" TargetMode="External" /><Relationship Type="http://schemas.openxmlformats.org/officeDocument/2006/relationships/hyperlink" Id="rId92" Target="https://townlight.github.io/reference/AGPL-3.0.txt" TargetMode="External" /><Relationship Type="http://schemas.openxmlformats.org/officeDocument/2006/relationships/hyperlink" Id="rId49" Target="https://townlight.github.io/reference/component-metadata.json" TargetMode="External" /><Relationship Type="http://schemas.openxmlformats.org/officeDocument/2006/relationships/hyperlink" Id="rId90" Target="https://townlight.github.io/reference/desktop-domain-openapi.json" TargetMode="External" /><Relationship Type="http://schemas.openxmlformats.org/officeDocument/2006/relationships/hyperlink" Id="rId63" Target="https://townlight.github.io/reference/index.html" TargetMode="External" /><Relationship Type="http://schemas.openxmlformats.org/officeDocument/2006/relationships/hyperlink" Id="rId67" Target="https://townlight.github.io/reference/mcp.html" TargetMode="External" /><Relationship Type="http://schemas.openxmlformats.org/officeDocument/2006/relationships/hyperlink" Id="rId48" Target="https://townlight.github.io/reference/runtime-payload-lock.json" TargetMode="External" /><Relationship Type="http://schemas.openxmlformats.org/officeDocument/2006/relationships/hyperlink" Id="rId72" Target="https://townlight.github.io/reference/sandbox-evidence-index.json" TargetMode="External" /><Relationship Type="http://schemas.openxmlformats.org/officeDocument/2006/relationships/hyperlink" Id="rId89" Target="https://townlight.github.io/reference/source-inventory.json" TargetMode="External" /><Relationship Type="http://schemas.openxmlformats.org/officeDocument/2006/relationships/hyperlink" Id="rId91" Target="https://townlight.github.io/reference/workflow-matrix.json" TargetMode="External" /><Relationship Type="http://schemas.openxmlformats.org/officeDocument/2006/relationships/hyperlink" Id="rId75" Target="https://www.gnu.org/licenses/agpl-3.0.html" TargetMode="External" /><Relationship Type="http://schemas.openxmlformats.org/officeDocument/2006/relationships/hyperlink" Id="rId76" Target="https://www.gnu.org/licenses/gpl-faq.en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Townlight Records Manual</dc:title>
  <dc:creator/>
  <cp:keywords/>
  <dcterms:created xsi:type="dcterms:W3CDTF">2026-11-04T06:03:18Z</dcterms:created>
  <dcterms:modified xsi:type="dcterms:W3CDTF">2026-11-04T06:03:18Z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