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Townlight Planning Manual</w:t>
      </w:r>
    </w:p>
    <w:p>
      <w:pPr>
        <w:pStyle w:val="FirstParagraph"/>
      </w:pPr>
      <w:r>
        <w:t xml:space="preserve">Windows x64 Beta 1 · MSI 1.7.0.1</w:t>
      </w:r>
    </w:p>
    <w:p>
      <w:pPr>
        <w:pStyle w:val="BodyText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</w:t>
      </w:r>
    </w:p>
    <w:p>
      <w:pPr>
        <w:pStyle w:val="Compact"/>
        <w:numPr>
          <w:ilvl w:val="0"/>
          <w:numId w:val="1001"/>
        </w:numPr>
      </w:pPr>
      <w:hyperlink w:anchor="townlight-planning-manual">
        <w:r>
          <w:rPr>
            <w:rStyle w:val="Hyperlink"/>
          </w:rPr>
          <w:t xml:space="preserve">Townlight Planning Manual</w:t>
        </w:r>
      </w:hyperlink>
    </w:p>
    <w:p>
      <w:pPr>
        <w:pStyle w:val="Compact"/>
        <w:numPr>
          <w:ilvl w:val="1"/>
          <w:numId w:val="1002"/>
        </w:numPr>
      </w:pPr>
      <w:hyperlink w:anchor="contents">
        <w:r>
          <w:rPr>
            <w:rStyle w:val="Hyperlink"/>
          </w:rPr>
          <w:t xml:space="preserve">Contents</w:t>
        </w:r>
      </w:hyperlink>
    </w:p>
    <w:p>
      <w:pPr>
        <w:pStyle w:val="Compact"/>
        <w:numPr>
          <w:ilvl w:val="1"/>
          <w:numId w:val="1002"/>
        </w:numPr>
      </w:pPr>
      <w:hyperlink w:anchor="using-this-manual">
        <w:r>
          <w:rPr>
            <w:rStyle w:val="Hyperlink"/>
          </w:rPr>
          <w:t xml:space="preserve">Using this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manual</w:t>
        </w:r>
      </w:hyperlink>
    </w:p>
    <w:p>
      <w:pPr>
        <w:pStyle w:val="Compact"/>
        <w:numPr>
          <w:ilvl w:val="1"/>
          <w:numId w:val="1002"/>
        </w:numPr>
      </w:pP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</w:p>
    <w:p>
      <w:pPr>
        <w:pStyle w:val="Compact"/>
        <w:numPr>
          <w:ilvl w:val="1"/>
          <w:numId w:val="1002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1"/>
          <w:numId w:val="1002"/>
        </w:numPr>
      </w:pP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</w:p>
    <w:p>
      <w:pPr>
        <w:pStyle w:val="Compact"/>
        <w:numPr>
          <w:ilvl w:val="1"/>
          <w:numId w:val="1002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1"/>
          <w:numId w:val="1002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1"/>
          <w:numId w:val="1002"/>
        </w:numPr>
      </w:pPr>
      <w:hyperlink w:anchor="exploration-initiatives-and-amendments">
        <w:r>
          <w:rPr>
            <w:rStyle w:val="Hyperlink"/>
          </w:rPr>
          <w:t xml:space="preserve">Exploration initiatives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amendments</w:t>
        </w:r>
      </w:hyperlink>
    </w:p>
    <w:p>
      <w:pPr>
        <w:pStyle w:val="Compact"/>
        <w:numPr>
          <w:ilvl w:val="1"/>
          <w:numId w:val="1002"/>
        </w:numPr>
      </w:pPr>
      <w:hyperlink w:anchor="technical-specifications">
        <w:r>
          <w:rPr>
            <w:rStyle w:val="Hyperlink"/>
          </w:rPr>
          <w:t xml:space="preserve">Technical specifications</w:t>
        </w:r>
      </w:hyperlink>
    </w:p>
    <w:p>
      <w:pPr>
        <w:pStyle w:val="Compact"/>
        <w:numPr>
          <w:ilvl w:val="1"/>
          <w:numId w:val="1002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1"/>
          <w:numId w:val="1002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1"/>
          <w:numId w:val="1002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1"/>
          <w:numId w:val="1002"/>
        </w:numPr>
      </w:pPr>
      <w:hyperlink w:anchor="security-and-permissions">
        <w:r>
          <w:rPr>
            <w:rStyle w:val="Hyperlink"/>
          </w:rPr>
          <w:t xml:space="preserve">Security and permissions</w:t>
        </w:r>
      </w:hyperlink>
    </w:p>
    <w:p>
      <w:pPr>
        <w:pStyle w:val="Compact"/>
        <w:numPr>
          <w:ilvl w:val="1"/>
          <w:numId w:val="1002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1"/>
          <w:numId w:val="1002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1"/>
          <w:numId w:val="1002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1"/>
          <w:numId w:val="1002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1"/>
          <w:numId w:val="1002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1"/>
          <w:numId w:val="1002"/>
        </w:numPr>
      </w:pPr>
      <w:hyperlink w:anchor="alphabetical-subject-index">
        <w:r>
          <w:rPr>
            <w:rStyle w:val="Hyperlink"/>
          </w:rPr>
          <w:t xml:space="preserve">Alphabetical subject index</w:t>
        </w:r>
      </w:hyperlink>
    </w:p>
    <w:p>
      <w:pPr>
        <w:pStyle w:val="Compact"/>
        <w:numPr>
          <w:ilvl w:val="1"/>
          <w:numId w:val="1002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Start w:id="95" w:name="townlight-planning-manual"/>
    <w:p>
      <w:pPr>
        <w:pStyle w:val="Heading1"/>
      </w:pPr>
      <w:r>
        <w:t xml:space="preserve">Townlight Planning Manual</w:t>
      </w:r>
    </w:p>
    <w:p>
      <w:pPr>
        <w:pStyle w:val="FirstParagraph"/>
      </w:pPr>
      <w:r>
        <w:rPr>
          <w:b/>
          <w:bCs/>
        </w:rPr>
        <w:t xml:space="preserve">Townlight Beta 1</w:t>
      </w:r>
      <w:r>
        <w:t xml:space="preserve"> </w:t>
      </w:r>
      <w:r>
        <w:t xml:space="preserve">· Naming candidate documentation</w:t>
      </w:r>
      <w:r>
        <w:t xml:space="preserve"> </w:t>
      </w:r>
      <w:r>
        <w:t xml:space="preserve">edition 2 November 2026</w:t>
      </w:r>
    </w:p>
    <w:bookmarkStart w:id="10" w:name="contents"/>
    <w:p>
      <w:pPr>
        <w:pStyle w:val="Heading2"/>
      </w:pPr>
      <w:r>
        <w:t xml:space="preserve">Contents</w:t>
      </w:r>
    </w:p>
    <w:p>
      <w:pPr>
        <w:pStyle w:val="Compact"/>
        <w:numPr>
          <w:ilvl w:val="0"/>
          <w:numId w:val="1003"/>
        </w:numPr>
      </w:pPr>
      <w:hyperlink w:anchor="using-this-manual">
        <w:r>
          <w:rPr>
            <w:rStyle w:val="Hyperlink"/>
          </w:rPr>
          <w:t xml:space="preserve">Using this manual</w:t>
        </w:r>
      </w:hyperlink>
    </w:p>
    <w:p>
      <w:pPr>
        <w:pStyle w:val="Compact"/>
        <w:numPr>
          <w:ilvl w:val="0"/>
          <w:numId w:val="1003"/>
        </w:numPr>
      </w:pPr>
      <w:hyperlink w:anchor="beta-identity">
        <w:r>
          <w:rPr>
            <w:rStyle w:val="Hyperlink"/>
          </w:rPr>
          <w:t xml:space="preserve">Beta identity</w:t>
        </w:r>
      </w:hyperlink>
    </w:p>
    <w:p>
      <w:pPr>
        <w:pStyle w:val="Compact"/>
        <w:numPr>
          <w:ilvl w:val="0"/>
          <w:numId w:val="1003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0"/>
          <w:numId w:val="1003"/>
        </w:numPr>
      </w:pPr>
      <w:hyperlink w:anchor="daily-workflow">
        <w:r>
          <w:rPr>
            <w:rStyle w:val="Hyperlink"/>
          </w:rPr>
          <w:t xml:space="preserve">Daily workflow</w:t>
        </w:r>
      </w:hyperlink>
    </w:p>
    <w:p>
      <w:pPr>
        <w:pStyle w:val="Compact"/>
        <w:numPr>
          <w:ilvl w:val="0"/>
          <w:numId w:val="1003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0"/>
          <w:numId w:val="1003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0"/>
          <w:numId w:val="1003"/>
        </w:numPr>
      </w:pPr>
      <w:hyperlink w:anchor="exploration-initiatives-and-amendments">
        <w:r>
          <w:rPr>
            <w:rStyle w:val="Hyperlink"/>
          </w:rPr>
          <w:t xml:space="preserve">Exploration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initiatives and amendments</w:t>
        </w:r>
      </w:hyperlink>
    </w:p>
    <w:p>
      <w:pPr>
        <w:pStyle w:val="Compact"/>
        <w:numPr>
          <w:ilvl w:val="0"/>
          <w:numId w:val="1003"/>
        </w:numPr>
      </w:pPr>
      <w:hyperlink w:anchor="technical-specifications">
        <w:r>
          <w:rPr>
            <w:rStyle w:val="Hyperlink"/>
          </w:rPr>
          <w:t xml:space="preserve">Technical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specifications</w:t>
        </w:r>
      </w:hyperlink>
    </w:p>
    <w:p>
      <w:pPr>
        <w:pStyle w:val="Compact"/>
        <w:numPr>
          <w:ilvl w:val="0"/>
          <w:numId w:val="1003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0"/>
          <w:numId w:val="1003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0"/>
          <w:numId w:val="1003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0"/>
          <w:numId w:val="1003"/>
        </w:numPr>
      </w:pPr>
      <w:hyperlink w:anchor="security-and-permissions">
        <w:r>
          <w:rPr>
            <w:rStyle w:val="Hyperlink"/>
          </w:rPr>
          <w:t xml:space="preserve">Security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permissions</w:t>
        </w:r>
      </w:hyperlink>
    </w:p>
    <w:p>
      <w:pPr>
        <w:pStyle w:val="Compact"/>
        <w:numPr>
          <w:ilvl w:val="0"/>
          <w:numId w:val="1003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0"/>
          <w:numId w:val="1003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0"/>
          <w:numId w:val="1003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0"/>
          <w:numId w:val="1003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0"/>
          <w:numId w:val="1003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0"/>
          <w:numId w:val="1003"/>
        </w:numPr>
      </w:pPr>
      <w:hyperlink w:anchor="alphabetical-subject-index">
        <w:r>
          <w:rPr>
            <w:rStyle w:val="Hyperlink"/>
          </w:rPr>
          <w:t xml:space="preserve">Alphabetical subject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index</w:t>
        </w:r>
      </w:hyperlink>
    </w:p>
    <w:p>
      <w:pPr>
        <w:pStyle w:val="Compact"/>
        <w:numPr>
          <w:ilvl w:val="0"/>
          <w:numId w:val="1003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End w:id="10"/>
    <w:bookmarkStart w:id="11" w:name="using-this-manual"/>
    <w:p>
      <w:pPr>
        <w:pStyle w:val="Heading2"/>
      </w:pPr>
      <w:r>
        <w:t xml:space="preserve">Using this manual</w:t>
      </w:r>
    </w:p>
    <w:p>
      <w:pPr>
        <w:pStyle w:val="FirstParagraph"/>
      </w:pPr>
      <w:r>
        <w:t xml:space="preserve">Townlight Planning helps planning staff, municipal policy reviewers</w:t>
      </w:r>
      <w:r>
        <w:t xml:space="preserve"> </w:t>
      </w:r>
      <w:r>
        <w:t xml:space="preserve">and authorized administrators. Planning retains adopted policy imports</w:t>
      </w:r>
      <w:r>
        <w:t xml:space="preserve"> </w:t>
      </w:r>
      <w:r>
        <w:t xml:space="preserve">and neighborhood applicability, saved staff analyses, reviewed</w:t>
      </w:r>
      <w:r>
        <w:t xml:space="preserve"> </w:t>
      </w:r>
      <w:r>
        <w:t xml:space="preserve">snapshots, municipal initiatives and amendment history. An analysis or</w:t>
      </w:r>
      <w:r>
        <w:t xml:space="preserve"> </w:t>
      </w:r>
      <w:r>
        <w:t xml:space="preserve">amendment draft does not adopt policy.</w:t>
      </w:r>
    </w:p>
    <w:p>
      <w:pPr>
        <w:pStyle w:val="BodyText"/>
      </w:pPr>
      <w:r>
        <w:t xml:space="preserve">Staff should begin with First run and Daily workflow. Administrators</w:t>
      </w:r>
      <w:r>
        <w:t xml:space="preserve"> </w:t>
      </w:r>
      <w:r>
        <w:t xml:space="preserve">should also read Architecture, Technical specifications, Configuration,</w:t>
      </w:r>
      <w:r>
        <w:t xml:space="preserve"> </w:t>
      </w:r>
      <w:r>
        <w:t xml:space="preserve">Security and Recovery. Developers should use the exact API/data</w:t>
      </w:r>
      <w:r>
        <w:t xml:space="preserve"> </w:t>
      </w:r>
      <w:r>
        <w:t xml:space="preserve">dictionary and examples. The table of contents and alphabetical subject</w:t>
      </w:r>
      <w:r>
        <w:t xml:space="preserve"> </w:t>
      </w:r>
      <w:r>
        <w:t xml:space="preserve">index link to the relevant sections in the HTML edition; the PDF</w:t>
      </w:r>
      <w:r>
        <w:t xml:space="preserve"> </w:t>
      </w:r>
      <w:r>
        <w:t xml:space="preserve">preserves headings and searchable text. An editable Word edition is</w:t>
      </w:r>
      <w:r>
        <w:t xml:space="preserve"> </w:t>
      </w:r>
      <w:r>
        <w:t xml:space="preserve">included with the same documentation companion.</w:t>
      </w:r>
    </w:p>
    <w:bookmarkEnd w:id="11"/>
    <w:bookmarkStart w:id="14" w:name="beta-identity"/>
    <w:p>
      <w:pPr>
        <w:pStyle w:val="Heading2"/>
      </w:pPr>
      <w:r>
        <w:t xml:space="preserve">Beta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Townlight Beta 1 naming, Access and Notice candidate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Intended installer version</w:t>
            </w:r>
          </w:p>
        </w:tc>
        <w:tc>
          <w:tcPr/>
          <w:p>
            <w:pPr>
              <w:pStyle w:val="Compact"/>
            </w:pPr>
            <w:r>
              <w:t xml:space="preserve">1.7.0.1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component</w:t>
            </w:r>
          </w:p>
        </w:tc>
        <w:tc>
          <w:tcPr/>
          <w:p>
            <w:pPr>
              <w:pStyle w:val="Compact"/>
            </w:pPr>
            <w:r>
              <w:t xml:space="preserve">townlight-planning 0.4.0.dev2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Principal import package</w:t>
            </w:r>
          </w:p>
        </w:tc>
        <w:tc>
          <w:tcPr/>
          <w:p>
            <w:pPr>
              <w:pStyle w:val="Compact"/>
            </w:pPr>
            <w:r>
              <w:t xml:space="preserve">townlight_planning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Native desktop source version</w:t>
            </w:r>
          </w:p>
        </w:tc>
        <w:tc>
          <w:tcPr/>
          <w:p>
            <w:pPr>
              <w:pStyle w:val="Compact"/>
            </w:pPr>
            <w:r>
              <w:t xml:space="preserve">1.7.0-1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Candidate hashes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SHA-256 checksums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Windows acceptance summary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Current owned software license</w:t>
            </w:r>
          </w:p>
        </w:tc>
        <w:tc>
          <w:tcPr/>
          <w:p>
            <w:pPr>
              <w:pStyle w:val="Compact"/>
            </w:pPr>
            <w:r>
              <w:t xml:space="preserve">AGPL-3.0-only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Acceptance composition</w:t>
            </w:r>
          </w:p>
        </w:tc>
        <w:tc>
          <w:tcPr/>
          <w:p>
            <w:pPr>
              <w:pStyle w:val="Compact"/>
            </w:pPr>
            <w:r>
              <w:t xml:space="preserve">Fresh Windows x64 profile; inspections-preview; Station configured</w:t>
            </w:r>
            <w:r>
              <w:t xml:space="preserve"> </w:t>
            </w:r>
            <w:r>
              <w:t xml:space="preserve">separately</w:t>
            </w:r>
          </w:p>
        </w:tc>
      </w:tr>
    </w:tbl>
    <w:p>
      <w:pPr>
        <w:pStyle w:val="BodyText"/>
      </w:pPr>
      <w:r>
        <w:t xml:space="preserve">Use an empty database and fresh Windows profile. The installer refuses legacy profile initialization. The approved profile path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. Keep existing profiles and backups.</w:t>
      </w:r>
    </w:p>
    <w:bookmarkEnd w:id="14"/>
    <w:bookmarkStart w:id="15" w:name="first-run"/>
    <w:p>
      <w:pPr>
        <w:pStyle w:val="Heading2"/>
      </w:pPr>
      <w:r>
        <w:t xml:space="preserve">First run</w:t>
      </w:r>
    </w:p>
    <w:p>
      <w:pPr>
        <w:pStyle w:val="Compact"/>
        <w:numPr>
          <w:ilvl w:val="0"/>
          <w:numId w:val="1004"/>
        </w:numPr>
      </w:pPr>
      <w:r>
        <w:t xml:space="preserve">Download the signed MSI, matching source companion and checksums from the</w:t>
      </w:r>
      <w:r>
        <w:t xml:space="preserve"> </w:t>
      </w:r>
      <w:hyperlink r:id="rId9">
        <w:r>
          <w:rPr>
            <w:rStyle w:val="Hyperlink"/>
          </w:rPr>
          <w:t xml:space="preserve">public Windows release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Verify the MSI hash and Authenticode publisher before installing on a fresh Windows profile. 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the tested setup.</w:t>
      </w:r>
    </w:p>
    <w:p>
      <w:pPr>
        <w:pStyle w:val="Compact"/>
        <w:numPr>
          <w:ilvl w:val="0"/>
          <w:numId w:val="1004"/>
        </w:numPr>
      </w:pPr>
      <w:r>
        <w:t xml:space="preserve">Launch Townlight under the intended named Windows account. Choose</w:t>
      </w:r>
      <w:r>
        <w:t xml:space="preserve"> </w:t>
      </w:r>
      <w:r>
        <w:t xml:space="preserve">the storage folders. Select</w:t>
      </w:r>
      <w:r>
        <w:t xml:space="preserve"> </w:t>
      </w:r>
      <w:r>
        <w:rPr>
          <w:b/>
          <w:bCs/>
        </w:rPr>
        <w:t xml:space="preserve">Townlight Inspections</w:t>
      </w:r>
      <w:r>
        <w:rPr>
          <w:b/>
          <w:bCs/>
        </w:rP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(</w:t>
      </w:r>
      <w:r>
        <w:rPr>
          <w:rStyle w:val="VerbatimChar"/>
        </w:rPr>
        <w:t xml:space="preserve">inspections-preview</w:t>
      </w:r>
      <w:r>
        <w:t xml:space="preserve">) for the bounded</w:t>
      </w:r>
      <w:r>
        <w:t xml:space="preserve"> </w:t>
      </w:r>
      <w:r>
        <w:t xml:space="preserve">desktop composition, including Access and Notice. A narrower default</w:t>
      </w:r>
      <w:r>
        <w:t xml:space="preserve"> </w:t>
      </w:r>
      <w:r>
        <w:t xml:space="preserve">selection will not expose all workspaces.</w:t>
      </w:r>
    </w:p>
    <w:p>
      <w:pPr>
        <w:pStyle w:val="Compact"/>
        <w:numPr>
          <w:ilvl w:val="0"/>
          <w:numId w:val="1004"/>
        </w:numPr>
      </w:pPr>
      <w:r>
        <w:t xml:space="preserve">Enter the city profile, time zone and contacts. Create the first</w:t>
      </w:r>
      <w:r>
        <w:t xml:space="preserve"> </w:t>
      </w:r>
      <w:r>
        <w:t xml:space="preserve">named local administrator, sign in and choose protected backup storage.</w:t>
      </w:r>
      <w:r>
        <w:t xml:space="preserve"> </w:t>
      </w:r>
      <w:r>
        <w:rPr>
          <w:b/>
          <w:bCs/>
        </w:rPr>
        <w:t xml:space="preserve">Continue without local AI</w:t>
      </w:r>
      <w:r>
        <w:t xml:space="preserve"> </w:t>
      </w:r>
      <w:r>
        <w:t xml:space="preserve">is valid for the</w:t>
      </w:r>
      <w:r>
        <w:t xml:space="preserve"> </w:t>
      </w:r>
      <w:r>
        <w:t xml:space="preserve">deterministic workflows.</w:t>
      </w:r>
    </w:p>
    <w:p>
      <w:pPr>
        <w:pStyle w:val="Compact"/>
        <w:numPr>
          <w:ilvl w:val="0"/>
          <w:numId w:val="1004"/>
        </w:numPr>
      </w:pPr>
      <w:r>
        <w:t xml:space="preserve">Run Health Check and wait for readiness. Open Townlight. In System</w:t>
      </w:r>
      <w:r>
        <w:t xml:space="preserve"> </w:t>
      </w:r>
      <w:r>
        <w:t xml:space="preserve">Health select</w:t>
      </w:r>
      <w:r>
        <w:t xml:space="preserve"> </w:t>
      </w:r>
      <w:r>
        <w:rPr>
          <w:b/>
          <w:bCs/>
        </w:rPr>
        <w:t xml:space="preserve">Finish Records Migration</w:t>
      </w:r>
      <w:r>
        <w:t xml:space="preserve"> </w:t>
      </w:r>
      <w:r>
        <w:t xml:space="preserve">to activate the</w:t>
      </w:r>
      <w:r>
        <w:t xml:space="preserve"> </w:t>
      </w:r>
      <w:r>
        <w:t xml:space="preserve">canonical Python/PostgreSQL runtime. Do not fabricate migration receipts</w:t>
      </w:r>
      <w:r>
        <w:t xml:space="preserve"> </w:t>
      </w:r>
      <w:r>
        <w:t xml:space="preserve">or seed accounts.</w:t>
      </w:r>
    </w:p>
    <w:p>
      <w:pPr>
        <w:pStyle w:val="Compact"/>
        <w:numPr>
          <w:ilvl w:val="0"/>
          <w:numId w:val="1004"/>
        </w:numPr>
      </w:pPr>
      <w:r>
        <w:t xml:space="preserve">Create named staff through Settings. Import authorized sources using</w:t>
      </w:r>
      <w:r>
        <w:t xml:space="preserve"> </w:t>
      </w:r>
      <w:r>
        <w:t xml:space="preserve">each product’s source library. All examples in this package are</w:t>
      </w:r>
      <w:r>
        <w:t xml:space="preserve"> </w:t>
      </w:r>
      <w:r>
        <w:t xml:space="preserve">synthetic; they are not municipal authority.</w:t>
      </w:r>
    </w:p>
    <w:p>
      <w:pPr>
        <w:pStyle w:val="Compact"/>
        <w:numPr>
          <w:ilvl w:val="0"/>
          <w:numId w:val="1004"/>
        </w:numPr>
      </w:pPr>
      <w:r>
        <w:t xml:space="preserve">Provision Station separately if it is part of the beta exercise.</w:t>
      </w:r>
      <w:r>
        <w:t xml:space="preserve"> </w:t>
      </w:r>
      <w:r>
        <w:t xml:space="preserve">Selecting the desktop composition does not start or configure Station.</w:t>
      </w:r>
      <w:r>
        <w:t xml:space="preserve"> </w:t>
      </w:r>
      <w:r>
        <w:t xml:space="preserve">Configure vision explicitly only if automatic photo drafting is</w:t>
      </w:r>
      <w:r>
        <w:t xml:space="preserve"> </w:t>
      </w:r>
      <w:r>
        <w:t xml:space="preserve">selected.</w:t>
      </w:r>
    </w:p>
    <w:bookmarkEnd w:id="15"/>
    <w:bookmarkStart w:id="33" w:name="daily-workflow"/>
    <w:p>
      <w:pPr>
        <w:pStyle w:val="Heading2"/>
      </w:pPr>
      <w:r>
        <w:t xml:space="preserve">Daily workflow</w:t>
      </w:r>
    </w:p>
    <w:p>
      <w:pPr>
        <w:pStyle w:val="FirstParagraph"/>
      </w:pPr>
      <w:bookmarkStart w:id="16" w:name="workflow-1"/>
      <w:bookmarkEnd w:id="16"/>
    </w:p>
    <w:bookmarkStart w:id="18" w:name="import-adopted-policy"/>
    <w:p>
      <w:pPr>
        <w:pStyle w:val="Heading3"/>
      </w:pPr>
      <w:r>
        <w:t xml:space="preserve">1. Import adopted policy</w:t>
      </w:r>
    </w:p>
    <w:p>
      <w:pPr>
        <w:pStyle w:val="FirstParagraph"/>
      </w:pPr>
      <w:r>
        <w:t xml:space="preserve">Open Policy library. Preview jurisdiction, adoption/source dates,</w:t>
      </w:r>
      <w:r>
        <w:t xml:space="preserve"> </w:t>
      </w:r>
      <w:r>
        <w:t xml:space="preserve">policy IDs, neighborhood applicability and originals, then confirm the</w:t>
      </w:r>
      <w:r>
        <w:t xml:space="preserve"> </w:t>
      </w:r>
      <w:r>
        <w:t xml:space="preserve">complete source bundle. Retain the previous revision.</w:t>
      </w:r>
    </w:p>
    <w:p>
      <w:pPr>
        <w:pStyle w:val="BodyText"/>
      </w:pPr>
      <w:bookmarkStart w:id="17" w:name="workflow-2"/>
      <w:bookmarkEnd w:id="17"/>
    </w:p>
    <w:bookmarkEnd w:id="18"/>
    <w:bookmarkStart w:id="20" w:name="create-or-reopen-an-analysis"/>
    <w:p>
      <w:pPr>
        <w:pStyle w:val="Heading3"/>
      </w:pPr>
      <w:r>
        <w:t xml:space="preserve">2. Create or reopen an</w:t>
      </w:r>
      <w:r>
        <w:t xml:space="preserve"> </w:t>
      </w:r>
      <w:r>
        <w:t xml:space="preserve">analysis</w:t>
      </w:r>
    </w:p>
    <w:p>
      <w:pPr>
        <w:pStyle w:val="FirstParagraph"/>
      </w:pPr>
      <w:r>
        <w:t xml:space="preserve">Open Analyses and select the project. Use Next page when the loaded</w:t>
      </w:r>
      <w:r>
        <w:t xml:space="preserve"> </w:t>
      </w:r>
      <w:r>
        <w:t xml:space="preserve">page does not contain the saved work. Enter the proposal, analysis and</w:t>
      </w:r>
      <w:r>
        <w:t xml:space="preserve"> </w:t>
      </w:r>
      <w:r>
        <w:t xml:space="preserve">private staff notes.</w:t>
      </w:r>
    </w:p>
    <w:p>
      <w:pPr>
        <w:pStyle w:val="BodyText"/>
      </w:pPr>
      <w:bookmarkStart w:id="19" w:name="workflow-3"/>
      <w:bookmarkEnd w:id="19"/>
    </w:p>
    <w:bookmarkEnd w:id="20"/>
    <w:bookmarkStart w:id="22" w:name="select-policies-and-evidence"/>
    <w:p>
      <w:pPr>
        <w:pStyle w:val="Heading3"/>
      </w:pPr>
      <w:r>
        <w:t xml:space="preserve">3. Select policies and</w:t>
      </w:r>
      <w:r>
        <w:t xml:space="preserve"> </w:t>
      </w:r>
      <w:r>
        <w:t xml:space="preserve">evidence</w:t>
      </w:r>
    </w:p>
    <w:p>
      <w:pPr>
        <w:pStyle w:val="FirstParagraph"/>
      </w:pPr>
      <w:r>
        <w:t xml:space="preserve">In Policies &amp; evidence select exact policy revisions and</w:t>
      </w:r>
      <w:r>
        <w:t xml:space="preserve"> </w:t>
      </w:r>
      <w:r>
        <w:t xml:space="preserve">applicable neighborhood context. Record supporting, conflicting or</w:t>
      </w:r>
      <w:r>
        <w:t xml:space="preserve"> </w:t>
      </w:r>
      <w:r>
        <w:t xml:space="preserve">uncertain considerations. Select permitted Meetings or Zoning evidence</w:t>
      </w:r>
      <w:r>
        <w:t xml:space="preserve"> </w:t>
      </w:r>
      <w:r>
        <w:t xml:space="preserve">with its expected hash.</w:t>
      </w:r>
    </w:p>
    <w:p>
      <w:pPr>
        <w:pStyle w:val="BodyText"/>
      </w:pPr>
      <w:bookmarkStart w:id="21" w:name="workflow-4"/>
      <w:bookmarkEnd w:id="21"/>
    </w:p>
    <w:bookmarkEnd w:id="22"/>
    <w:bookmarkStart w:id="24" w:name="save-and-reconcile"/>
    <w:p>
      <w:pPr>
        <w:pStyle w:val="Heading3"/>
      </w:pPr>
      <w:r>
        <w:t xml:space="preserve">4. Save and reconcile</w:t>
      </w:r>
    </w:p>
    <w:p>
      <w:pPr>
        <w:pStyle w:val="FirstParagraph"/>
      </w:pPr>
      <w:r>
        <w:t xml:space="preserve">Use Save draft before navigating or signing out. When another</w:t>
      </w:r>
      <w:r>
        <w:t xml:space="preserve"> </w:t>
      </w:r>
      <w:r>
        <w:t xml:space="preserve">revision exists, reopen it and reconcile your edits. Do not resubmit</w:t>
      </w:r>
      <w:r>
        <w:t xml:space="preserve"> </w:t>
      </w:r>
      <w:r>
        <w:t xml:space="preserve">against a guessed revision identifier.</w:t>
      </w:r>
    </w:p>
    <w:p>
      <w:pPr>
        <w:pStyle w:val="BodyText"/>
      </w:pPr>
      <w:bookmarkStart w:id="23" w:name="workflow-5"/>
      <w:bookmarkEnd w:id="23"/>
    </w:p>
    <w:bookmarkEnd w:id="24"/>
    <w:bookmarkStart w:id="26" w:name="review-the-saved-revision"/>
    <w:p>
      <w:pPr>
        <w:pStyle w:val="Heading3"/>
      </w:pPr>
      <w:r>
        <w:t xml:space="preserve">5. Review the saved revision</w:t>
      </w:r>
    </w:p>
    <w:p>
      <w:pPr>
        <w:pStyle w:val="FirstParagraph"/>
      </w:pPr>
      <w:r>
        <w:t xml:space="preserve">In Review &amp; export check the audience, public summary and review</w:t>
      </w:r>
      <w:r>
        <w:t xml:space="preserve"> </w:t>
      </w:r>
      <w:r>
        <w:t xml:space="preserve">notes. Save, then Record review of saved draft. The trusted staff path</w:t>
      </w:r>
      <w:r>
        <w:t xml:space="preserve"> </w:t>
      </w:r>
      <w:r>
        <w:t xml:space="preserve">derives identity/date. Editing later produces a new revision requiring</w:t>
      </w:r>
      <w:r>
        <w:t xml:space="preserve"> </w:t>
      </w:r>
      <w:r>
        <w:t xml:space="preserve">review.</w:t>
      </w:r>
    </w:p>
    <w:p>
      <w:pPr>
        <w:pStyle w:val="BodyText"/>
      </w:pPr>
      <w:bookmarkStart w:id="25" w:name="workflow-6"/>
      <w:bookmarkEnd w:id="25"/>
    </w:p>
    <w:bookmarkEnd w:id="26"/>
    <w:bookmarkStart w:id="28" w:name="create-and-export-a-snapshot"/>
    <w:p>
      <w:pPr>
        <w:pStyle w:val="Heading3"/>
      </w:pPr>
      <w:r>
        <w:t xml:space="preserve">6. Create and export a</w:t>
      </w:r>
      <w:r>
        <w:t xml:space="preserve"> </w:t>
      </w:r>
      <w:r>
        <w:t xml:space="preserve">snapshot</w:t>
      </w:r>
    </w:p>
    <w:p>
      <w:pPr>
        <w:pStyle w:val="FirstParagraph"/>
      </w:pPr>
      <w:r>
        <w:t xml:space="preserve">Preview the reviewed saved revision, inspect the returned content,</w:t>
      </w:r>
      <w:r>
        <w:t xml:space="preserve"> </w:t>
      </w:r>
      <w:r>
        <w:t xml:space="preserve">then create the snapshot. Public copies exclude staff notes and full</w:t>
      </w:r>
      <w:r>
        <w:t xml:space="preserve"> </w:t>
      </w:r>
      <w:r>
        <w:t xml:space="preserve">staff analysis under the public contract. Export verifies the expected</w:t>
      </w:r>
      <w:r>
        <w:t xml:space="preserve"> </w:t>
      </w:r>
      <w:r>
        <w:t xml:space="preserve">SHA256.</w:t>
      </w:r>
    </w:p>
    <w:p>
      <w:pPr>
        <w:pStyle w:val="BodyText"/>
      </w:pPr>
      <w:bookmarkStart w:id="27" w:name="workflow-7"/>
      <w:bookmarkEnd w:id="27"/>
    </w:p>
    <w:bookmarkEnd w:id="28"/>
    <w:bookmarkStart w:id="30" w:name="track-initiatives-and-amendments"/>
    <w:p>
      <w:pPr>
        <w:pStyle w:val="Heading3"/>
      </w:pPr>
      <w:r>
        <w:t xml:space="preserve">7. Track initiatives and</w:t>
      </w:r>
      <w:r>
        <w:t xml:space="preserve"> </w:t>
      </w:r>
      <w:r>
        <w:t xml:space="preserve">amendments</w:t>
      </w:r>
    </w:p>
    <w:p>
      <w:pPr>
        <w:pStyle w:val="FirstParagraph"/>
      </w:pPr>
      <w:r>
        <w:t xml:space="preserve">Create and revise municipal initiative status, responsibility,</w:t>
      </w:r>
      <w:r>
        <w:t xml:space="preserve"> </w:t>
      </w:r>
      <w:r>
        <w:t xml:space="preserve">targets, milestones and measurements using the existing controls. Retain</w:t>
      </w:r>
      <w:r>
        <w:t xml:space="preserve"> </w:t>
      </w:r>
      <w:r>
        <w:t xml:space="preserve">history. Draft and review amendments separately; adoption must identify</w:t>
      </w:r>
      <w:r>
        <w:t xml:space="preserve"> </w:t>
      </w:r>
      <w:r>
        <w:t xml:space="preserve">the actual adopted source revision.</w:t>
      </w:r>
    </w:p>
    <w:p>
      <w:pPr>
        <w:pStyle w:val="BodyText"/>
      </w:pPr>
      <w:bookmarkStart w:id="29" w:name="workflow-8"/>
      <w:bookmarkEnd w:id="29"/>
    </w:p>
    <w:bookmarkEnd w:id="30"/>
    <w:bookmarkStart w:id="31" w:name="share-deliberately"/>
    <w:p>
      <w:pPr>
        <w:pStyle w:val="Heading3"/>
      </w:pPr>
      <w:r>
        <w:t xml:space="preserve">8. Share deliberately</w:t>
      </w:r>
    </w:p>
    <w:p>
      <w:pPr>
        <w:pStyle w:val="FirstParagraph"/>
      </w:pPr>
      <w:r>
        <w:t xml:space="preserve">Select a permitted snapshot in Records. Creating a snapshot does not</w:t>
      </w:r>
      <w:r>
        <w:t xml:space="preserve"> </w:t>
      </w:r>
      <w:r>
        <w:t xml:space="preserve">publish it, release a request or adopt policy.</w:t>
      </w:r>
    </w:p>
    <w:bookmarkEnd w:id="31"/>
    <w:bookmarkStart w:id="32" w:name="working-safely"/>
    <w:p>
      <w:pPr>
        <w:pStyle w:val="Heading3"/>
      </w:pPr>
      <w:r>
        <w:t xml:space="preserve">Working safely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bookmarkEnd w:id="32"/>
    <w:bookmarkEnd w:id="33"/>
    <w:bookmarkStart w:id="35" w:name="connected-workflows"/>
    <w:p>
      <w:pPr>
        <w:pStyle w:val="Heading2"/>
      </w:pPr>
      <w:r>
        <w:t xml:space="preserve">Connected workflows</w:t>
      </w:r>
    </w:p>
    <w:p>
      <w:pPr>
        <w:pStyle w:val="FirstParagraph"/>
      </w:pPr>
      <w:r>
        <w:t xml:space="preserve">Selects Meetings and Zoning evidence. Provides permitted reviewed</w:t>
      </w:r>
      <w:r>
        <w:t xml:space="preserve"> </w:t>
      </w:r>
      <w:r>
        <w:t xml:space="preserve">snapshots to Records. Source selection is permission- and hash-checked</w:t>
      </w:r>
      <w:r>
        <w:t xml:space="preserve"> </w:t>
      </w:r>
      <w:r>
        <w:t xml:space="preserve">and is not automatic writeback.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t xml:space="preserve">Material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Complete adopted policy source bundles, proposal context, versioned</w:t>
            </w:r>
            <w:r>
              <w:t xml:space="preserve"> </w:t>
            </w:r>
            <w:r>
              <w:t xml:space="preserve">policy selections, permitted Meetings/Zoning evidence and staff progress</w:t>
            </w:r>
            <w:r>
              <w:t xml:space="preserve"> </w:t>
            </w:r>
            <w:r>
              <w:t xml:space="preserve">updates.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Cited analyses, audience-specific reviewed snapshots, durable</w:t>
            </w:r>
            <w:r>
              <w:t xml:space="preserve"> </w:t>
            </w:r>
            <w:r>
              <w:t xml:space="preserve">initiative/history records and amendment lifecycle records.</w:t>
            </w:r>
          </w:p>
        </w:tc>
      </w:tr>
    </w:tbl>
    <w:bookmarkStart w:id="34" w:name="product-boundary"/>
    <w:p>
      <w:pPr>
        <w:pStyle w:val="Heading3"/>
      </w:pPr>
      <w:r>
        <w:t xml:space="preserve">Product boundary</w:t>
      </w:r>
    </w:p>
    <w:p>
      <w:pPr>
        <w:pStyle w:val="FirstParagraph"/>
      </w:pPr>
      <w:r>
        <w:t xml:space="preserve">Existing initiative/amendment persistence is included. A draft</w:t>
      </w:r>
      <w:r>
        <w:t xml:space="preserve"> </w:t>
      </w:r>
      <w:r>
        <w:t xml:space="preserve">amendment does not change an adopted source revision. Historical</w:t>
      </w:r>
      <w:r>
        <w:t xml:space="preserve"> </w:t>
      </w:r>
      <w:r>
        <w:t xml:space="preserve">standalone sample pages are not the installed staff workspace. Analysis</w:t>
      </w:r>
      <w:r>
        <w:t xml:space="preserve"> </w:t>
      </w:r>
      <w:r>
        <w:t xml:space="preserve">lists and project filters operate on loaded pages; use pagination to</w:t>
      </w:r>
      <w:r>
        <w:t xml:space="preserve"> </w:t>
      </w:r>
      <w:r>
        <w:t xml:space="preserve">reach additional records.</w:t>
      </w:r>
    </w:p>
    <w:bookmarkEnd w:id="34"/>
    <w:bookmarkEnd w:id="35"/>
    <w:bookmarkStart w:id="39" w:name="architecture"/>
    <w:p>
      <w:pPr>
        <w:pStyle w:val="Heading2"/>
      </w:pPr>
      <w:r>
        <w:t xml:space="preserve">Architecture</w:t>
      </w:r>
    </w:p>
    <w:p>
      <w:pPr>
        <w:pStyle w:val="CaptionedFigure"/>
      </w:pPr>
      <w:r>
        <w:drawing>
          <wp:inline>
            <wp:extent cx="5334000" cy="1889125"/>
            <wp:effectExtent b="0" l="0" r="0" t="0"/>
            <wp:docPr descr="Townlight Planning architecture and evidence flow" title="" id="37" name="Picture"/>
            <a:graphic>
              <a:graphicData uri="http://schemas.openxmlformats.org/drawingml/2006/picture">
                <pic:pic>
                  <pic:nvPicPr>
                    <pic:cNvPr descr="C:/Users/scott/Documents/Codex/2026-11-02/rea/work/combined-candidate/repos/townlight.github.io/assets/word/planning-architectur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Townlight Planning architecture and</w:t>
      </w:r>
      <w:r>
        <w:t xml:space="preserve"> </w:t>
      </w:r>
      <w:r>
        <w:t xml:space="preserve">evidence flow</w:t>
      </w:r>
    </w:p>
    <w:p>
      <w:pPr>
        <w:pStyle w:val="BodyText"/>
      </w:pPr>
      <w:r>
        <w:t xml:space="preserve">The drawing shows the principal staff/evidence path. Native commands</w:t>
      </w:r>
      <w:r>
        <w:t xml:space="preserve"> </w:t>
      </w:r>
      <w:r>
        <w:t xml:space="preserve">carry trusted identity to Python business services; PostgreSQL and</w:t>
      </w:r>
      <w:r>
        <w:t xml:space="preserve"> </w:t>
      </w:r>
      <w:r>
        <w:t xml:space="preserve">retained original files hold durable state. A downstream copy does not</w:t>
      </w:r>
      <w:r>
        <w:t xml:space="preserve"> </w:t>
      </w:r>
      <w:r>
        <w:t xml:space="preserve">silently transfer decision authority. Station has its own configured</w:t>
      </w:r>
      <w:r>
        <w:t xml:space="preserve"> </w:t>
      </w:r>
      <w:r>
        <w:t xml:space="preserve">authority/media boundary, database and mutable files. The</w:t>
      </w:r>
      <w:r>
        <w:t xml:space="preserve"> </w:t>
      </w:r>
      <w:r>
        <w:t xml:space="preserve">connected-workflow text supplies the drawing’s reading order and</w:t>
      </w:r>
      <w:r>
        <w:t xml:space="preserve"> </w:t>
      </w:r>
      <w:r>
        <w:t xml:space="preserve">accessibility alternative.</w:t>
      </w:r>
    </w:p>
    <w:bookmarkEnd w:id="39"/>
    <w:bookmarkStart w:id="44" w:name="exploration-initiatives-and-amendments"/>
    <w:p>
      <w:pPr>
        <w:pStyle w:val="Heading2"/>
      </w:pPr>
      <w:r>
        <w:t xml:space="preserve">Exploration initiatives</w:t>
      </w:r>
      <w:r>
        <w:t xml:space="preserve"> </w:t>
      </w:r>
      <w:r>
        <w:t xml:space="preserve">and amendments</w:t>
      </w:r>
    </w:p>
    <w:bookmarkStart w:id="41" w:name="explore-adopted-plans"/>
    <w:p>
      <w:pPr>
        <w:pStyle w:val="Heading3"/>
      </w:pPr>
      <w:r>
        <w:t xml:space="preserve">Explore adopted plans</w:t>
      </w:r>
    </w:p>
    <w:p>
      <w:pPr>
        <w:pStyle w:val="FirstParagraph"/>
      </w:pPr>
      <w:r>
        <w:t xml:space="preserve">Open</w:t>
      </w:r>
      <w:r>
        <w:t xml:space="preserve"> </w:t>
      </w:r>
      <w:r>
        <w:rPr>
          <w:b/>
          <w:bCs/>
        </w:rPr>
        <w:t xml:space="preserve">Policy library</w:t>
      </w:r>
      <w:r>
        <w:t xml:space="preserve"> </w:t>
      </w:r>
      <w:r>
        <w:t xml:space="preserve">and find</w:t>
      </w:r>
      <w:r>
        <w:t xml:space="preserve"> </w:t>
      </w:r>
      <w:r>
        <w:rPr>
          <w:b/>
          <w:bCs/>
        </w:rPr>
        <w:t xml:space="preserve">Explore adopted</w:t>
      </w:r>
      <w:r>
        <w:rPr>
          <w:b/>
          <w:bCs/>
        </w:rPr>
        <w:t xml:space="preserve"> </w:t>
      </w:r>
      <w:r>
        <w:rPr>
          <w:b/>
          <w:bCs/>
        </w:rPr>
        <w:t xml:space="preserve">plans</w:t>
      </w:r>
      <w:r>
        <w:t xml:space="preserve">. Enter a topic and/or choose the supplied goal,</w:t>
      </w:r>
      <w:r>
        <w:t xml:space="preserve"> </w:t>
      </w:r>
      <w:r>
        <w:t xml:space="preserve">neighborhood and plan-type filters. These are separate facets; keyword</w:t>
      </w:r>
      <w:r>
        <w:t xml:space="preserve"> </w:t>
      </w:r>
      <w:r>
        <w:t xml:space="preserve">search is not a substitute for neighborhood applicability. Run</w:t>
      </w:r>
      <w:r>
        <w:t xml:space="preserve"> </w:t>
      </w:r>
      <w:r>
        <w:t xml:space="preserve">exploration and inspect each returned plan, adopted/source dates, exact</w:t>
      </w:r>
      <w:r>
        <w:t xml:space="preserve"> </w:t>
      </w:r>
      <w:r>
        <w:t xml:space="preserve">policy references and permitted original material. Empty results can</w:t>
      </w:r>
      <w:r>
        <w:t xml:space="preserve"> </w:t>
      </w:r>
      <w:r>
        <w:t xml:space="preserve">mean no matching permitted adopted source, not an error or an invented</w:t>
      </w:r>
      <w:r>
        <w:t xml:space="preserve"> </w:t>
      </w:r>
      <w:r>
        <w:t xml:space="preserve">plan.</w:t>
      </w:r>
    </w:p>
    <w:p>
      <w:pPr>
        <w:pStyle w:val="BodyText"/>
      </w:pPr>
      <w:r>
        <w:t xml:space="preserve">The existing public exploration transport is</w:t>
      </w:r>
      <w:r>
        <w:t xml:space="preserve"> </w:t>
      </w:r>
      <w:r>
        <w:rPr>
          <w:rStyle w:val="VerbatimChar"/>
        </w:rPr>
        <w:t xml:space="preserve">planning_public_request</w:t>
      </w:r>
      <w:r>
        <w:t xml:space="preserve">, separate from staff</w:t>
      </w:r>
      <w:r>
        <w:t xml:space="preserve"> </w:t>
      </w:r>
      <w:r>
        <w:rPr>
          <w:rStyle w:val="VerbatimChar"/>
        </w:rPr>
        <w:t xml:space="preserve">planning_domain_request</w:t>
      </w:r>
      <w:r>
        <w:t xml:space="preserve">. Technical clients use its</w:t>
      </w:r>
      <w:r>
        <w:t xml:space="preserve"> </w:t>
      </w:r>
      <w:r>
        <w:t xml:space="preserve">documented</w:t>
      </w:r>
      <w:r>
        <w:t xml:space="preserve"> </w:t>
      </w:r>
      <w:r>
        <w:rPr>
          <w:rStyle w:val="VerbatimChar"/>
        </w:rPr>
        <w:t xml:space="preserve">plan-explore</w:t>
      </w:r>
      <w:r>
        <w:t xml:space="preserve"> </w:t>
      </w:r>
      <w:r>
        <w:t xml:space="preserve">operation or the mounted public</w:t>
      </w:r>
      <w:r>
        <w:t xml:space="preserve"> </w:t>
      </w:r>
      <w:r>
        <w:t xml:space="preserve">route in the API companion. A native operation fragment is:</w:t>
      </w:r>
    </w:p>
    <w:bookmarkStart w:id="40" w:name="cb1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"operation"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"plan-explore"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"payload"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"topic"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mobility"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"neighborhood"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North"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"goal"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"plan_type"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}}</w:t>
      </w:r>
    </w:p>
    <w:bookmarkEnd w:id="40"/>
    <w:p>
      <w:pPr>
        <w:pStyle w:val="FirstParagraph"/>
      </w:pPr>
      <w:r>
        <w:t xml:space="preserve">Only public-permitted adopted sources belong in this result. Private</w:t>
      </w:r>
      <w:r>
        <w:t xml:space="preserve"> </w:t>
      </w:r>
      <w:r>
        <w:t xml:space="preserve">staff analyses, selected restricted evidence and staff notes do not</w:t>
      </w:r>
      <w:r>
        <w:t xml:space="preserve"> </w:t>
      </w:r>
      <w:r>
        <w:t xml:space="preserve">become public through exploration. The output includes matching</w:t>
      </w:r>
      <w:r>
        <w:t xml:space="preserve"> </w:t>
      </w:r>
      <w:r>
        <w:t xml:space="preserve">plans/facets and an informational disclaimer; no cross-plan AI synthesis</w:t>
      </w:r>
      <w:r>
        <w:t xml:space="preserve"> </w:t>
      </w:r>
      <w:r>
        <w:t xml:space="preserve">or internet portal commissioning is implied.</w:t>
      </w:r>
    </w:p>
    <w:bookmarkEnd w:id="41"/>
    <w:bookmarkStart w:id="42" w:name="track-a-municipal-initiative"/>
    <w:p>
      <w:pPr>
        <w:pStyle w:val="Heading3"/>
      </w:pPr>
      <w:r>
        <w:t xml:space="preserve">Track a municipal initiative</w:t>
      </w:r>
    </w:p>
    <w:p>
      <w:pPr>
        <w:pStyle w:val="FirstParagraph"/>
      </w:pPr>
      <w:r>
        <w:t xml:space="preserve">Open</w:t>
      </w:r>
      <w:r>
        <w:t xml:space="preserve"> </w:t>
      </w:r>
      <w:r>
        <w:rPr>
          <w:b/>
          <w:bCs/>
        </w:rPr>
        <w:t xml:space="preserve">Implementation &amp; amendments</w:t>
      </w:r>
      <w:r>
        <w:t xml:space="preserve">. Choose an</w:t>
      </w:r>
      <w:r>
        <w:t xml:space="preserve"> </w:t>
      </w:r>
      <w:r>
        <w:t xml:space="preserve">actual retained policy selection, title, responsible staff, target,</w:t>
      </w:r>
      <w:r>
        <w:t xml:space="preserve"> </w:t>
      </w:r>
      <w:r>
        <w:t xml:space="preserve">unit, due date and explanatory note. Save a planned/active initiative</w:t>
      </w:r>
      <w:r>
        <w:t xml:space="preserve"> </w:t>
      </w:r>
      <w:r>
        <w:t xml:space="preserve">and reopen its current revision/history. Add milestones and measurements</w:t>
      </w:r>
      <w:r>
        <w:t xml:space="preserve"> </w:t>
      </w:r>
      <w:r>
        <w:t xml:space="preserve">with their dates and evidence. Each change uses the latest</w:t>
      </w:r>
      <w:r>
        <w:t xml:space="preserve"> </w:t>
      </w:r>
      <w:r>
        <w:rPr>
          <w:rStyle w:val="VerbatimChar"/>
        </w:rPr>
        <w:t xml:space="preserve">expected_revision</w:t>
      </w:r>
      <w:r>
        <w:t xml:space="preserve">; reconcile a conflict by reopening the</w:t>
      </w:r>
      <w:r>
        <w:t xml:space="preserve"> </w:t>
      </w:r>
      <w:r>
        <w:t xml:space="preserve">current state rather than guessing a revision.</w:t>
      </w:r>
    </w:p>
    <w:p>
      <w:pPr>
        <w:pStyle w:val="BodyText"/>
      </w:pPr>
      <w:r>
        <w:t xml:space="preserve">The initiative statuses are</w:t>
      </w:r>
      <w:r>
        <w:t xml:space="preserve"> </w:t>
      </w:r>
      <w:r>
        <w:rPr>
          <w:rStyle w:val="VerbatimChar"/>
        </w:rPr>
        <w:t xml:space="preserve">planned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completed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.</w:t>
      </w:r>
      <w:r>
        <w:t xml:space="preserve"> </w:t>
      </w:r>
      <w:r>
        <w:t xml:space="preserve">A completed initiative requires measurement evidence and every supplied</w:t>
      </w:r>
      <w:r>
        <w:t xml:space="preserve"> </w:t>
      </w:r>
      <w:r>
        <w:t xml:space="preserve">milestone completed. A milestone completion needs supporting evidence</w:t>
      </w:r>
      <w:r>
        <w:t xml:space="preserve"> </w:t>
      </w:r>
      <w:r>
        <w:t xml:space="preserve">and a completion date that is not in the future. Numerical progress</w:t>
      </w:r>
      <w:r>
        <w:t xml:space="preserve"> </w:t>
      </w:r>
      <w:r>
        <w:t xml:space="preserve">without its source/evidence is not a completed municipal outcome.</w:t>
      </w:r>
    </w:p>
    <w:p>
      <w:pPr>
        <w:pStyle w:val="BodyText"/>
      </w:pPr>
      <w:r>
        <w:t xml:space="preserve">For a synthetic exercise, create an active initiative with a</w:t>
      </w:r>
      <w:r>
        <w:t xml:space="preserve"> </w:t>
      </w:r>
      <w:r>
        <w:t xml:space="preserve">fictional policy selection, target</w:t>
      </w:r>
      <w:r>
        <w:t xml:space="preserve"> </w:t>
      </w:r>
      <w:r>
        <w:rPr>
          <w:rStyle w:val="VerbatimChar"/>
        </w:rPr>
        <w:t xml:space="preserve">3</w:t>
      </w:r>
      <w:r>
        <w:t xml:space="preserve">, unit</w:t>
      </w:r>
      <w:r>
        <w:t xml:space="preserve"> </w:t>
      </w:r>
      <w:r>
        <w:rPr>
          <w:rStyle w:val="VerbatimChar"/>
        </w:rPr>
        <w:t xml:space="preserve">synthetic reviews</w:t>
      </w:r>
      <w:r>
        <w:t xml:space="preserve">, an intended future due date and a note</w:t>
      </w:r>
      <w:r>
        <w:t xml:space="preserve"> </w:t>
      </w:r>
      <w:r>
        <w:t xml:space="preserve">explaining the test. Add one evidence-backed measurement, then complete</w:t>
      </w:r>
      <w:r>
        <w:t xml:space="preserve"> </w:t>
      </w:r>
      <w:r>
        <w:t xml:space="preserve">each milestone before requesting completed status. Read the saved</w:t>
      </w:r>
      <w:r>
        <w:t xml:space="preserve"> </w:t>
      </w:r>
      <w:r>
        <w:t xml:space="preserve">initiative/history after every accepted revision. No external project</w:t>
      </w:r>
      <w:r>
        <w:t xml:space="preserve"> </w:t>
      </w:r>
      <w:r>
        <w:t xml:space="preserve">system is updated by this save.</w:t>
      </w:r>
    </w:p>
    <w:bookmarkEnd w:id="42"/>
    <w:bookmarkStart w:id="43" w:name="retain-an-amendment-lifecycle"/>
    <w:p>
      <w:pPr>
        <w:pStyle w:val="Heading3"/>
      </w:pPr>
      <w:r>
        <w:t xml:space="preserve">Retain an amendment</w:t>
      </w:r>
      <w:r>
        <w:t xml:space="preserve"> </w:t>
      </w:r>
      <w:r>
        <w:t xml:space="preserve">lifecycle</w:t>
      </w:r>
    </w:p>
    <w:p>
      <w:pPr>
        <w:pStyle w:val="FirstParagraph"/>
      </w:pPr>
      <w:r>
        <w:t xml:space="preserve">An amendment has its own proposal and history; changing an analysis</w:t>
      </w:r>
      <w:r>
        <w:t xml:space="preserve"> </w:t>
      </w:r>
      <w:r>
        <w:t xml:space="preserve">does not adopt an amendment. In</w:t>
      </w:r>
      <w:r>
        <w:t xml:space="preserve"> </w:t>
      </w:r>
      <w:r>
        <w:rPr>
          <w:b/>
          <w:bCs/>
        </w:rPr>
        <w:t xml:space="preserve">Implementation &amp;</w:t>
      </w:r>
      <w:r>
        <w:rPr>
          <w:b/>
          <w:bCs/>
        </w:rPr>
        <w:t xml:space="preserve"> </w:t>
      </w:r>
      <w:r>
        <w:rPr>
          <w:b/>
          <w:bCs/>
        </w:rPr>
        <w:t xml:space="preserve">amendments</w:t>
      </w:r>
      <w:r>
        <w:t xml:space="preserve">, select the actual policy, enter proposal text,</w:t>
      </w:r>
      <w:r>
        <w:t xml:space="preserve"> </w:t>
      </w:r>
      <w:r>
        <w:t xml:space="preserve">title, responsible staff and a note, then save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. The</w:t>
      </w:r>
      <w:r>
        <w:t xml:space="preserve"> </w:t>
      </w:r>
      <w:r>
        <w:t xml:space="preserve">allowed amendment statuses are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adopted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withdrawn</w:t>
      </w:r>
      <w:r>
        <w:t xml:space="preserve">.</w:t>
      </w:r>
    </w:p>
    <w:p>
      <w:pPr>
        <w:pStyle w:val="BodyText"/>
      </w:pPr>
      <w:r>
        <w:t xml:space="preserve">Moving to</w:t>
      </w:r>
      <w:r>
        <w:t xml:space="preserve"> </w:t>
      </w:r>
      <w:r>
        <w:rPr>
          <w:rStyle w:val="VerbatimChar"/>
        </w:rPr>
        <w:t xml:space="preserve">review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adopted</w:t>
      </w:r>
      <w:r>
        <w:t xml:space="preserve"> </w:t>
      </w:r>
      <w:r>
        <w:t xml:space="preserve">requires a</w:t>
      </w:r>
      <w:r>
        <w:t xml:space="preserve"> </w:t>
      </w:r>
      <w:r>
        <w:t xml:space="preserve">recorded</w:t>
      </w:r>
      <w:r>
        <w:t xml:space="preserve"> </w:t>
      </w:r>
      <w:r>
        <w:rPr>
          <w:rStyle w:val="VerbatimChar"/>
        </w:rPr>
        <w:t xml:space="preserve">review_note</w:t>
      </w:r>
      <w:r>
        <w:t xml:space="preserve">. Before recording</w:t>
      </w:r>
      <w:r>
        <w:t xml:space="preserve"> </w:t>
      </w:r>
      <w:r>
        <w:rPr>
          <w:rStyle w:val="VerbatimChar"/>
        </w:rPr>
        <w:t xml:space="preserve">adopted</w:t>
      </w:r>
      <w:r>
        <w:t xml:space="preserve">, import and verify the actual adopted policy</w:t>
      </w:r>
      <w:r>
        <w:t xml:space="preserve"> </w:t>
      </w:r>
      <w:r>
        <w:t xml:space="preserve">revision, then supply its</w:t>
      </w:r>
      <w:r>
        <w:t xml:space="preserve"> </w:t>
      </w:r>
      <w:r>
        <w:rPr>
          <w:rStyle w:val="VerbatimChar"/>
        </w:rPr>
        <w:t xml:space="preserve">adoption_revision</w:t>
      </w:r>
      <w:r>
        <w:t xml:space="preserve"> </w:t>
      </w:r>
      <w:r>
        <w:t xml:space="preserve">identity. Only</w:t>
      </w:r>
      <w:r>
        <w:t xml:space="preserve"> </w:t>
      </w:r>
      <w:r>
        <w:t xml:space="preserve">an adopted amendment may carry that field; draft/review/withdrawn</w:t>
      </w:r>
      <w:r>
        <w:t xml:space="preserve"> </w:t>
      </w:r>
      <w:r>
        <w:t xml:space="preserve">records must omit it or use null. The proposal’s existing policy</w:t>
      </w:r>
      <w:r>
        <w:t xml:space="preserve"> </w:t>
      </w:r>
      <w:r>
        <w:t xml:space="preserve">reference and newly imported adoption revision have distinct roles.</w:t>
      </w:r>
      <w:r>
        <w:t xml:space="preserve"> </w:t>
      </w:r>
      <w:r>
        <w:t xml:space="preserve">Staff record the authorized decision; a status choice does not itself</w:t>
      </w:r>
      <w:r>
        <w:t xml:space="preserve"> </w:t>
      </w:r>
      <w:r>
        <w:t xml:space="preserve">enact policy.</w:t>
      </w:r>
    </w:p>
    <w:p>
      <w:pPr>
        <w:pStyle w:val="BodyText"/>
      </w:pPr>
      <w:r>
        <w:t xml:space="preserve">Use the latest</w:t>
      </w:r>
      <w:r>
        <w:t xml:space="preserve"> </w:t>
      </w:r>
      <w:r>
        <w:rPr>
          <w:rStyle w:val="VerbatimChar"/>
        </w:rPr>
        <w:t xml:space="preserve">expected_revision</w:t>
      </w:r>
      <w:r>
        <w:t xml:space="preserve"> </w:t>
      </w:r>
      <w:r>
        <w:t xml:space="preserve">when revising. Reopen</w:t>
      </w:r>
      <w:r>
        <w:t xml:space="preserve"> </w:t>
      </w:r>
      <w:r>
        <w:t xml:space="preserve">the amendment and municipal history, confirm status, review note and</w:t>
      </w:r>
      <w:r>
        <w:t xml:space="preserve"> </w:t>
      </w:r>
      <w:r>
        <w:t xml:space="preserve">adoption link, and retain prior revisions. Public exploration changes</w:t>
      </w:r>
      <w:r>
        <w:t xml:space="preserve"> </w:t>
      </w:r>
      <w:r>
        <w:t xml:space="preserve">only when its permitted adopted sources actually change, not merely</w:t>
      </w:r>
      <w:r>
        <w:t xml:space="preserve"> </w:t>
      </w:r>
      <w:r>
        <w:t xml:space="preserve">because staff created a proposal.</w:t>
      </w:r>
    </w:p>
    <w:p>
      <w:pPr>
        <w:pStyle w:val="BodyText"/>
      </w:pPr>
      <w:r>
        <w:t xml:space="preserve">Source contracts:</w:t>
      </w:r>
      <w:r>
        <w:t xml:space="preserve"> </w:t>
      </w:r>
      <w:r>
        <w:rPr>
          <w:rStyle w:val="VerbatimChar"/>
        </w:rPr>
        <w:t xml:space="preserve">townlight_planning/public_explore.py</w:t>
      </w:r>
      <w:r>
        <w:t xml:space="preserve">,</w:t>
      </w:r>
      <w:r>
        <w:t xml:space="preserve"> </w:t>
      </w:r>
      <w:r>
        <w:rPr>
          <w:rStyle w:val="VerbatimChar"/>
        </w:rPr>
        <w:t xml:space="preserve">municipal.py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townlight_runtime/planning_bridge.py</w:t>
      </w:r>
      <w:r>
        <w:t xml:space="preserve"> </w:t>
      </w:r>
      <w:r>
        <w:t xml:space="preserve">and the Planning view.</w:t>
      </w:r>
      <w:r>
        <w:t xml:space="preserve"> </w:t>
      </w:r>
      <w:r>
        <w:t xml:space="preserve">The API dictionary carries</w:t>
      </w:r>
      <w:r>
        <w:t xml:space="preserve"> </w:t>
      </w:r>
      <w:r>
        <w:rPr>
          <w:rStyle w:val="VerbatimChar"/>
        </w:rPr>
        <w:t xml:space="preserve">InitiativeInput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Milestone</w:t>
      </w:r>
      <w:r>
        <w:t xml:space="preserve">,</w:t>
      </w:r>
      <w:r>
        <w:t xml:space="preserve"> </w:t>
      </w:r>
      <w:r>
        <w:rPr>
          <w:rStyle w:val="VerbatimChar"/>
        </w:rPr>
        <w:t xml:space="preserve">Measurement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AmendmentInput</w:t>
      </w:r>
      <w:r>
        <w:t xml:space="preserve"> </w:t>
      </w:r>
      <w:r>
        <w:t xml:space="preserve">and the exact policy-selection fields;</w:t>
      </w:r>
      <w:r>
        <w:t xml:space="preserve"> </w:t>
      </w:r>
      <w:r>
        <w:t xml:space="preserve">conditional completion/adoption checks above also apply beyond simple</w:t>
      </w:r>
      <w:r>
        <w:t xml:space="preserve"> </w:t>
      </w:r>
      <w:r>
        <w:t xml:space="preserve">field validation.</w:t>
      </w:r>
    </w:p>
    <w:bookmarkEnd w:id="43"/>
    <w:bookmarkEnd w:id="44"/>
    <w:bookmarkStart w:id="50" w:name="technical-specifications"/>
    <w:p>
      <w:pPr>
        <w:pStyle w:val="Heading2"/>
      </w:pPr>
      <w:r>
        <w:t xml:space="preserve">Technical specifications</w:t>
      </w:r>
    </w:p>
    <w:bookmarkStart w:id="45" w:name="runtime-and-storage"/>
    <w:p>
      <w:pPr>
        <w:pStyle w:val="Heading3"/>
      </w:pPr>
      <w:r>
        <w:t xml:space="preserve">Runtime and storage</w:t>
      </w:r>
    </w:p>
    <w:p>
      <w:pPr>
        <w:pStyle w:val="FirstParagraph"/>
      </w:pPr>
      <w:r>
        <w:t xml:space="preserve">The accepted package targets</w:t>
      </w:r>
      <w:r>
        <w:t xml:space="preserve"> </w:t>
      </w:r>
      <w:r>
        <w:rPr>
          <w:b/>
          <w:bCs/>
        </w:rPr>
        <w:t xml:space="preserve">Windows x64 fresh</w:t>
      </w:r>
      <w:r>
        <w:rPr>
          <w:b/>
          <w:bCs/>
        </w:rPr>
        <w:t xml:space="preserve"> </w:t>
      </w:r>
      <w:r>
        <w:rPr>
          <w:b/>
          <w:bCs/>
        </w:rPr>
        <w:t xml:space="preserve">installation</w:t>
      </w:r>
      <w:r>
        <w:t xml:space="preserve">. Its native shell uses</w:t>
      </w:r>
      <w:r>
        <w:t xml:space="preserve"> </w:t>
      </w:r>
      <w:r>
        <w:rPr>
          <w:b/>
          <w:bCs/>
        </w:rPr>
        <w:t xml:space="preserve">Rust 2021, Tauri 2</w:t>
      </w:r>
      <w:r>
        <w:rPr>
          <w:b/>
          <w:bCs/>
        </w:rPr>
        <w:t xml:space="preserve"> </w:t>
      </w:r>
      <w:r>
        <w:rPr>
          <w:b/>
          <w:bCs/>
        </w:rPr>
        <w:t xml:space="preserve">and Microsoft WebView2</w:t>
      </w:r>
      <w:r>
        <w:t xml:space="preserve">; browser assets are JavaScript built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Vite 8.1.6</w:t>
      </w:r>
      <w:r>
        <w:t xml:space="preserve">. This describes the native desktop</w:t>
      </w:r>
      <w:r>
        <w:t xml:space="preserve"> </w:t>
      </w:r>
      <w:r>
        <w:t xml:space="preserve">frontend; Station has a separate React operator, specified below or in</w:t>
      </w:r>
      <w:r>
        <w:t xml:space="preserve"> </w:t>
      </w:r>
      <w:r>
        <w:t xml:space="preserve">its product manual. Canonical business workflows use bundled</w:t>
      </w:r>
      <w:r>
        <w:t xml:space="preserve"> </w:t>
      </w:r>
      <w:r>
        <w:rPr>
          <w:b/>
          <w:bCs/>
        </w:rPr>
        <w:t xml:space="preserve">CPython 3.13.5, FastAPI, Pydantic, SQLAlchemy and</w:t>
      </w:r>
      <w:r>
        <w:rPr>
          <w:b/>
          <w:bCs/>
        </w:rPr>
        <w:t xml:space="preserve"> </w:t>
      </w:r>
      <w:r>
        <w:rPr>
          <w:b/>
          <w:bCs/>
        </w:rPr>
        <w:t xml:space="preserve">Alembic</w:t>
      </w:r>
      <w:r>
        <w:t xml:space="preserve">, with</w:t>
      </w:r>
      <w:r>
        <w:t xml:space="preserve"> </w:t>
      </w:r>
      <w:r>
        <w:rPr>
          <w:b/>
          <w:bCs/>
        </w:rPr>
        <w:t xml:space="preserve">PostgreSQL 17 / PostGIS</w:t>
      </w:r>
      <w:r>
        <w:t xml:space="preserve"> </w:t>
      </w:r>
      <w:r>
        <w:t xml:space="preserve">and</w:t>
      </w:r>
      <w:r>
        <w:t xml:space="preserve"> </w:t>
      </w:r>
      <w:r>
        <w:t xml:space="preserve">managed original files. The installed runtime tested here contains</w:t>
      </w:r>
      <w:r>
        <w:t xml:space="preserve"> </w:t>
      </w:r>
      <w:r>
        <w:t xml:space="preserve">FastAPI 0.162.0. Package minimum Python requirements can differ from the</w:t>
      </w:r>
      <w:r>
        <w:t xml:space="preserve"> </w:t>
      </w:r>
      <w:r>
        <w:t xml:space="preserve">bundled executable; the metadata reference preserves both. No stack</w:t>
      </w:r>
      <w:r>
        <w:t xml:space="preserve"> </w:t>
      </w:r>
      <w:r>
        <w:t xml:space="preserve">rewrite is implied by the beta label.</w:t>
      </w:r>
    </w:p>
    <w:p>
      <w:pPr>
        <w:pStyle w:val="BodyText"/>
      </w:pPr>
      <w:r>
        <w:t xml:space="preserve">The native transport is fixed to loopback</w:t>
      </w:r>
      <w:r>
        <w:t xml:space="preserve"> </w:t>
      </w:r>
      <w:r>
        <w:rPr>
          <w:rStyle w:val="VerbatimChar"/>
        </w:rPr>
        <w:t xml:space="preserve">127.0.0.1:15480</w:t>
      </w:r>
      <w:r>
        <w:t xml:space="preserve">; PostgreSQL uses the configured local</w:t>
      </w:r>
      <w:r>
        <w:t xml:space="preserve"> </w:t>
      </w:r>
      <w:r>
        <w:t xml:space="preserve">runtime port (default</w:t>
      </w:r>
      <w:r>
        <w:t xml:space="preserve"> </w:t>
      </w:r>
      <w:r>
        <w:rPr>
          <w:rStyle w:val="VerbatimChar"/>
        </w:rPr>
        <w:t xml:space="preserve">15432</w:t>
      </w:r>
      <w:r>
        <w:t xml:space="preserve">). Optional local model service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127.0.0.1:15434</w:t>
      </w:r>
      <w:r>
        <w:t xml:space="preserve">. Those are deployment defaults,</w:t>
      </w:r>
      <w:r>
        <w:t xml:space="preserve"> </w:t>
      </w:r>
      <w:r>
        <w:t xml:space="preserve">not internet endpoints. The runtime has health, module and readiness</w:t>
      </w:r>
      <w:r>
        <w:t xml:space="preserve"> </w:t>
      </w:r>
      <w:r>
        <w:t xml:space="preserve">endpoints; readiness is stronger than process existence. The task queue</w:t>
      </w:r>
      <w:r>
        <w:t xml:space="preserve"> </w:t>
      </w:r>
      <w:r>
        <w:t xml:space="preserve">is the existing local Core task infrastructure, not an assertion that a</w:t>
      </w:r>
      <w:r>
        <w:t xml:space="preserve"> </w:t>
      </w:r>
      <w:r>
        <w:t xml:space="preserve">separate Redis service is required for this desktop composition.</w:t>
      </w:r>
    </w:p>
    <w:p>
      <w:pPr>
        <w:pStyle w:val="BodyText"/>
      </w:pPr>
      <w:r>
        <w:t xml:space="preserve">The default native profile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;</w:t>
      </w:r>
      <w:r>
        <w:t xml:space="preserve"> </w:t>
      </w:r>
      <w:r>
        <w:t xml:space="preserve">the historical directory name remains part of compatibility. Do not</w:t>
      </w:r>
      <w:r>
        <w:t xml:space="preserve"> </w:t>
      </w:r>
      <w:r>
        <w:t xml:space="preserve">rename it to Townlight. A configured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 </w:t>
      </w:r>
      <w:r>
        <w:t xml:space="preserve">must be absolute. Local configuration and secrets live under that</w:t>
      </w:r>
      <w:r>
        <w:t xml:space="preserve"> </w:t>
      </w:r>
      <w:r>
        <w:t xml:space="preserve">profile; protected managed files and database state must be backed up</w:t>
      </w:r>
      <w:r>
        <w:t xml:space="preserve"> </w:t>
      </w:r>
      <w:r>
        <w:t xml:space="preserve">coherently. Source/runtime identity is distinct from a product’s display</w:t>
      </w:r>
      <w:r>
        <w:t xml:space="preserve"> </w:t>
      </w:r>
      <w:r>
        <w:t xml:space="preserve">label.</w:t>
      </w:r>
    </w:p>
    <w:bookmarkEnd w:id="45"/>
    <w:bookmarkStart w:id="46" w:name="data-and-consistency"/>
    <w:p>
      <w:pPr>
        <w:pStyle w:val="Heading3"/>
      </w:pPr>
      <w:r>
        <w:t xml:space="preserve">Data and consistency</w:t>
      </w:r>
    </w:p>
    <w:p>
      <w:pPr>
        <w:pStyle w:val="FirstParagraph"/>
      </w:pPr>
      <w:r>
        <w:t xml:space="preserve">Plan bundles and revisions; original documents; versioned policy</w:t>
      </w:r>
      <w:r>
        <w:t xml:space="preserve"> </w:t>
      </w:r>
      <w:r>
        <w:t xml:space="preserve">selections and neighborhood applicability; analysis revisions; reviews</w:t>
      </w:r>
      <w:r>
        <w:t xml:space="preserve"> </w:t>
      </w:r>
      <w:r>
        <w:t xml:space="preserve">and snapshots; initiatives, milestones and measurements; amendment</w:t>
      </w:r>
      <w:r>
        <w:t xml:space="preserve"> </w:t>
      </w:r>
      <w:r>
        <w:t xml:space="preserve">revisions.</w:t>
      </w:r>
    </w:p>
    <w:p>
      <w:pPr>
        <w:pStyle w:val="BodyText"/>
      </w:pPr>
      <w:r>
        <w:t xml:space="preserve">Versioned saves use expected prior revision identifiers where</w:t>
      </w:r>
      <w:r>
        <w:t xml:space="preserve"> </w:t>
      </w:r>
      <w:r>
        <w:t xml:space="preserve">defined. Reopen and reconcile on conflict. Exact exports and handoffs</w:t>
      </w:r>
      <w:r>
        <w:t xml:space="preserve"> </w:t>
      </w:r>
      <w:r>
        <w:t xml:space="preserve">use source IDs, current visibility, revision and SHA256. Review belongs</w:t>
      </w:r>
      <w:r>
        <w:t xml:space="preserve"> </w:t>
      </w:r>
      <w:r>
        <w:t xml:space="preserve">to the saved revision and does not transfer silently to edited text.</w:t>
      </w:r>
      <w:r>
        <w:t xml:space="preserve"> </w:t>
      </w:r>
      <w:r>
        <w:t xml:space="preserve">Database changes use the owning product’s migrations; a request or</w:t>
      </w:r>
      <w:r>
        <w:t xml:space="preserve"> </w:t>
      </w:r>
      <w:r>
        <w:t xml:space="preserve">readiness check is not an authorization to mutate schema.</w:t>
      </w:r>
    </w:p>
    <w:bookmarkEnd w:id="46"/>
    <w:bookmarkStart w:id="49" w:name="capacity-and-platform-statements"/>
    <w:p>
      <w:pPr>
        <w:pStyle w:val="Heading3"/>
      </w:pPr>
      <w:r>
        <w:t xml:space="preserve">Capacity and platform</w:t>
      </w:r>
      <w:r>
        <w:t xml:space="preserve"> </w:t>
      </w:r>
      <w:r>
        <w:t xml:space="preserve">statements</w:t>
      </w:r>
    </w:p>
    <w:p>
      <w:pPr>
        <w:pStyle w:val="FirstParagraph"/>
      </w:pPr>
      <w:r>
        <w:t xml:space="preserve">This beta has synthetic single-profile workflow evidence. It does not</w:t>
      </w:r>
      <w:r>
        <w:t xml:space="preserve"> </w:t>
      </w:r>
      <w:r>
        <w:t xml:space="preserve">have a published benchmark for concurrent staff capacity, minimum</w:t>
      </w:r>
      <w:r>
        <w:t xml:space="preserve"> </w:t>
      </w:r>
      <w:r>
        <w:t xml:space="preserve">RAM/CPU, large-source limits or a field SLA. Do not turn a developer</w:t>
      </w:r>
      <w:r>
        <w:t xml:space="preserve"> </w:t>
      </w:r>
      <w:r>
        <w:t xml:space="preserve">machine’s specification into a supported minimum. The signed MSI is 2,082,697,216 bytes; allow additional disk for extracted runtime,</w:t>
      </w:r>
      <w:r>
        <w:t xml:space="preserve"> </w:t>
      </w:r>
      <w:r>
        <w:t xml:space="preserve">database, originals, exports, media and backups. Select</w:t>
      </w:r>
      <w:r>
        <w:t xml:space="preserve"> </w:t>
      </w:r>
      <w:r>
        <w:t xml:space="preserve">equipment/storage after sizing those actual workloads.</w:t>
      </w:r>
    </w:p>
    <w:p>
      <w:pPr>
        <w:pStyle w:val="BodyText"/>
      </w:pPr>
      <w:r>
        <w:t xml:space="preserve">The exact</w:t>
      </w:r>
      <w:r>
        <w:t xml:space="preserve"> </w:t>
      </w:r>
      <w:hyperlink r:id="rId47">
        <w:r>
          <w:rPr>
            <w:rStyle w:val="Hyperlink"/>
          </w:rPr>
          <w:t xml:space="preserve">runtime payload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lock</w:t>
        </w:r>
      </w:hyperlink>
      <w:r>
        <w:t xml:space="preserve"> </w:t>
      </w:r>
      <w:r>
        <w:t xml:space="preserve">records pinned files, sizes and hashes. The</w:t>
      </w:r>
      <w:r>
        <w:t xml:space="preserve"> </w:t>
      </w:r>
      <w:hyperlink r:id="rId48">
        <w:r>
          <w:rPr>
            <w:rStyle w:val="Hyperlink"/>
          </w:rPr>
          <w:t xml:space="preserve">component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records shipped dependency declarations. These references</w:t>
      </w:r>
      <w:r>
        <w:t xml:space="preserve"> </w:t>
      </w:r>
      <w:r>
        <w:t xml:space="preserve">are more precise than a manually copied dependency list. Third-party and</w:t>
      </w:r>
      <w:r>
        <w:t xml:space="preserve"> </w:t>
      </w:r>
      <w:r>
        <w:t xml:space="preserve">historical license notices must accompany their matching payloads.</w:t>
      </w:r>
    </w:p>
    <w:bookmarkEnd w:id="49"/>
    <w:bookmarkEnd w:id="50"/>
    <w:bookmarkStart w:id="52" w:name="configuration-and-administration"/>
    <w:p>
      <w:pPr>
        <w:pStyle w:val="Heading2"/>
      </w:pPr>
      <w:r>
        <w:t xml:space="preserve">Configuration and</w:t>
      </w:r>
      <w:r>
        <w:t xml:space="preserve"> </w:t>
      </w:r>
      <w:r>
        <w:t xml:space="preserve">administration</w:t>
      </w:r>
    </w:p>
    <w:bookmarkStart w:id="51" w:name="native-deployment-configuration"/>
    <w:p>
      <w:pPr>
        <w:pStyle w:val="Heading3"/>
      </w:pPr>
      <w:r>
        <w:t xml:space="preserve">Native deployment</w:t>
      </w:r>
      <w:r>
        <w:t xml:space="preserve"> </w:t>
      </w:r>
      <w:r>
        <w:t xml:space="preserve">configuration</w:t>
      </w:r>
    </w:p>
    <w:p>
      <w:pPr>
        <w:pStyle w:val="FirstParagraph"/>
      </w:pPr>
      <w:r>
        <w:t xml:space="preserve">Use Setup, Settings and System Health for supported staff operation.</w:t>
      </w:r>
      <w:r>
        <w:t xml:space="preserve"> </w:t>
      </w:r>
      <w:r>
        <w:t xml:space="preserve">Administrators provision folders, backup storage, named accounts and the</w:t>
      </w:r>
      <w:r>
        <w:t xml:space="preserve"> </w:t>
      </w:r>
      <w:r>
        <w:t xml:space="preserve">city profile. Select</w:t>
      </w:r>
      <w:r>
        <w:t xml:space="preserve"> </w:t>
      </w:r>
      <w:r>
        <w:rPr>
          <w:rStyle w:val="VerbatimChar"/>
        </w:rPr>
        <w:t xml:space="preserve">inspections-preview</w:t>
      </w:r>
      <w:r>
        <w:t xml:space="preserve"> </w:t>
      </w:r>
      <w:r>
        <w:t xml:space="preserve">for the bounded</w:t>
      </w:r>
      <w:r>
        <w:t xml:space="preserve"> </w:t>
      </w:r>
      <w:r>
        <w:t xml:space="preserve">desktop composition, including Access and Notice. Station remains a</w:t>
      </w:r>
      <w:r>
        <w:t xml:space="preserve"> </w:t>
      </w:r>
      <w:r>
        <w:t xml:space="preserve">separate service boundary. Do not use a standalone product’s demo server</w:t>
      </w:r>
      <w:r>
        <w:t xml:space="preserve"> </w:t>
      </w:r>
      <w:r>
        <w:t xml:space="preserve">as a substitute for the installed workspace.</w:t>
      </w:r>
    </w:p>
    <w:p>
      <w:pPr>
        <w:pStyle w:val="BodyText"/>
      </w:pPr>
      <w:r>
        <w:t xml:space="preserve">Technical deployments use</w:t>
      </w:r>
      <w:r>
        <w:t xml:space="preserve"> </w:t>
      </w:r>
      <w:r>
        <w:rPr>
          <w:rStyle w:val="VerbatimChar"/>
        </w:rPr>
        <w:t xml:space="preserve">TOWNLIGHT_PRODUCT_PROFILE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TOWNLIGHT_RUNTIME_PORT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PORTAL_MODE</w:t>
      </w:r>
      <w:r>
        <w:t xml:space="preserve"> </w:t>
      </w:r>
      <w:r>
        <w:t xml:space="preserve">and the</w:t>
      </w:r>
      <w:r>
        <w:t xml:space="preserve"> </w:t>
      </w:r>
      <w:r>
        <w:t xml:space="preserve">runtime-managed secret files. Treat database URLs and native session</w:t>
      </w:r>
      <w:r>
        <w:t xml:space="preserve"> </w:t>
      </w:r>
      <w:r>
        <w:t xml:space="preserve">proofs as secrets. The installed native domain runtime explicitly</w:t>
      </w:r>
      <w:r>
        <w:t xml:space="preserve"> </w:t>
      </w:r>
      <w:r>
        <w:t xml:space="preserve">refuses non-loopback binding.</w:t>
      </w:r>
      <w:r>
        <w:t xml:space="preserve"> </w:t>
      </w:r>
      <w:r>
        <w:rPr>
          <w:rStyle w:val="VerbatimChar"/>
        </w:rPr>
        <w:t xml:space="preserve">PORTAL_MODE=private</w:t>
      </w:r>
      <w:r>
        <w:t xml:space="preserve"> </w:t>
      </w:r>
      <w:r>
        <w:t xml:space="preserve">is the</w:t>
      </w:r>
      <w:r>
        <w:t xml:space="preserve"> </w:t>
      </w:r>
      <w:r>
        <w:t xml:space="preserve">accepted posture; changing it does not by itself commission an internet</w:t>
      </w:r>
      <w:r>
        <w:t xml:space="preserve"> </w:t>
      </w:r>
      <w:r>
        <w:t xml:space="preserve">portal, authentication provider or reverse proxy.</w:t>
      </w:r>
    </w:p>
    <w:p>
      <w:pPr>
        <w:pStyle w:val="BodyText"/>
      </w:pPr>
      <w:r>
        <w:t xml:space="preserve">The isolated documentation exporter sets a fictional profile and</w:t>
      </w:r>
      <w:r>
        <w:t xml:space="preserve"> </w:t>
      </w:r>
      <w:r>
        <w:t xml:space="preserve">unusable synthetic database origin only to read schemas; those values</w:t>
      </w:r>
      <w:r>
        <w:t xml:space="preserve"> </w:t>
      </w:r>
      <w:r>
        <w:t xml:space="preserve">are not deployment configuration. Keep deployment values in the intended</w:t>
      </w:r>
      <w:r>
        <w:t xml:space="preserve"> </w:t>
      </w:r>
      <w:r>
        <w:t xml:space="preserve">process/account scope. An already-running process does not automatically</w:t>
      </w:r>
      <w:r>
        <w:t xml:space="preserve"> </w:t>
      </w:r>
      <w:r>
        <w:t xml:space="preserve">inherit later environment edits.</w:t>
      </w:r>
    </w:p>
    <w:bookmarkEnd w:id="51"/>
    <w:bookmarkEnd w:id="52"/>
    <w:bookmarkStart w:id="65" w:name="api-and-integration-examples"/>
    <w:p>
      <w:pPr>
        <w:pStyle w:val="Heading2"/>
      </w:pPr>
      <w:r>
        <w:t xml:space="preserve">API and integration examples</w:t>
      </w:r>
    </w:p>
    <w:bookmarkStart w:id="54" w:name="native-command-example"/>
    <w:p>
      <w:pPr>
        <w:pStyle w:val="Heading3"/>
      </w:pPr>
      <w:r>
        <w:t xml:space="preserve">Native command example</w:t>
      </w:r>
    </w:p>
    <w:p>
      <w:pPr>
        <w:pStyle w:val="FirstParagraph"/>
      </w:pPr>
      <w:r>
        <w:t xml:space="preserve">The following JavaScript belongs in the existing trusted Townlight</w:t>
      </w:r>
      <w:r>
        <w:t xml:space="preserve"> </w:t>
      </w:r>
      <w:r>
        <w:t xml:space="preserve">frontend/development environment with</w:t>
      </w:r>
      <w:r>
        <w:t xml:space="preserve"> </w:t>
      </w:r>
      <w:r>
        <w:rPr>
          <w:rStyle w:val="VerbatimChar"/>
        </w:rPr>
        <w:t xml:space="preserve">invoke</w:t>
      </w:r>
      <w:r>
        <w:t xml:space="preserve"> </w:t>
      </w:r>
      <w:r>
        <w:t xml:space="preserve">imported from</w:t>
      </w:r>
      <w:r>
        <w:t xml:space="preserve"> </w:t>
      </w:r>
      <w:r>
        <w:rPr>
          <w:rStyle w:val="VerbatimChar"/>
        </w:rPr>
        <w:t xml:space="preserve">@tauri-apps/api/core</w:t>
      </w:r>
      <w:r>
        <w:t xml:space="preserve">. It is not a command for an arbitrary</w:t>
      </w:r>
      <w:r>
        <w:t xml:space="preserve"> </w:t>
      </w:r>
      <w:r>
        <w:t xml:space="preserve">web page or an instruction for nontechnical staff. IDs must come from</w:t>
      </w:r>
      <w:r>
        <w:t xml:space="preserve"> </w:t>
      </w:r>
      <w:r>
        <w:t xml:space="preserve">records created in an isolated synthetic exercise.</w:t>
      </w:r>
    </w:p>
    <w:bookmarkStart w:id="53" w:name="cb2"/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{ invoke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'@tauri-apps/api/core'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'planning_domain_request'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request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operation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'sources'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offset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}})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(result)</w:t>
      </w:r>
      <w:r>
        <w:rPr>
          <w:rStyle w:val="OperatorTok"/>
        </w:rPr>
        <w:t xml:space="preserve">;</w:t>
      </w:r>
    </w:p>
    <w:bookmarkEnd w:id="53"/>
    <w:bookmarkEnd w:id="54"/>
    <w:bookmarkStart w:id="56" w:name="trusted-local-http-example"/>
    <w:p>
      <w:pPr>
        <w:pStyle w:val="Heading3"/>
      </w:pPr>
      <w:r>
        <w:t xml:space="preserve">Trusted local HTTP example</w:t>
      </w:r>
    </w:p>
    <w:p>
      <w:pPr>
        <w:pStyle w:val="FirstParagraph"/>
      </w:pPr>
      <w:r>
        <w:t xml:space="preserve">An administrator/developer can inspect an already-configured isolated</w:t>
      </w:r>
      <w:r>
        <w:t xml:space="preserve"> </w:t>
      </w:r>
      <w:r>
        <w:t xml:space="preserve">runtime from a trusted local process. This PowerShell example reads the</w:t>
      </w:r>
      <w:r>
        <w:t xml:space="preserve"> </w:t>
      </w:r>
      <w:r>
        <w:t xml:space="preserve">signed-in synthetic profile’s existing proof into memory; it does not</w:t>
      </w:r>
      <w:r>
        <w:t xml:space="preserve"> </w:t>
      </w:r>
      <w:r>
        <w:t xml:space="preserve">create a user, seed a session, reveal the proof in output or bypass a</w:t>
      </w:r>
      <w:r>
        <w:t xml:space="preserve"> </w:t>
      </w:r>
      <w:r>
        <w:t xml:space="preserve">permission check. Do not use real city data in development examples. A</w:t>
      </w:r>
      <w:r>
        <w:t xml:space="preserve"> </w:t>
      </w:r>
      <w:r>
        <w:t xml:space="preserve">read response does not prove approval or publication.</w:t>
      </w:r>
    </w:p>
    <w:bookmarkStart w:id="55" w:name="cb3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'config\local-session.json'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'http://127.0.0.1:15480/desktop/v1/planning/sources'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5"/>
    <w:bookmarkEnd w:id="56"/>
    <w:bookmarkStart w:id="58" w:name="complete-synthetic-source-bundle"/>
    <w:p>
      <w:pPr>
        <w:pStyle w:val="Heading3"/>
      </w:pPr>
      <w:r>
        <w:t xml:space="preserve">Complete synthetic source</w:t>
      </w:r>
      <w:r>
        <w:t xml:space="preserve"> </w:t>
      </w:r>
      <w:r>
        <w:t xml:space="preserve">bundle</w:t>
      </w:r>
    </w:p>
    <w:p>
      <w:pPr>
        <w:pStyle w:val="FirstParagraph"/>
      </w:pPr>
      <w:r>
        <w:t xml:space="preserve">The</w:t>
      </w:r>
      <w:r>
        <w:t xml:space="preserve"> </w:t>
      </w:r>
      <w:hyperlink r:id="rId57">
        <w:r>
          <w:rPr>
            <w:rStyle w:val="Hyperlink"/>
          </w:rPr>
          <w:t xml:space="preserve">synthetic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Planning bundle</w:t>
        </w:r>
      </w:hyperlink>
      <w:r>
        <w:t xml:space="preserve"> </w:t>
      </w:r>
      <w:r>
        <w:t xml:space="preserve">is the retained fixture used by the beta staff</w:t>
      </w:r>
      <w:r>
        <w:t xml:space="preserve"> </w:t>
      </w:r>
      <w:r>
        <w:t xml:space="preserve">exercise. It includes the complete supported source envelope rather than</w:t>
      </w:r>
      <w:r>
        <w:t xml:space="preserve"> </w:t>
      </w:r>
      <w:r>
        <w:t xml:space="preserve">a shortened pseudo-payload. Keep its fictional source labels. For</w:t>
      </w:r>
      <w:r>
        <w:t xml:space="preserve"> </w:t>
      </w:r>
      <w:r>
        <w:t xml:space="preserve">Planning, wrap it as</w:t>
      </w:r>
      <w:r>
        <w:t xml:space="preserve"> </w:t>
      </w:r>
      <w:r>
        <w:rPr>
          <w:rStyle w:val="VerbatimChar"/>
        </w:rPr>
        <w:t xml:space="preserve">{"bundle": BUNDLE, "expected_previous_revision": null}</w:t>
      </w:r>
      <w:r>
        <w:t xml:space="preserve">; for</w:t>
      </w:r>
      <w:r>
        <w:t xml:space="preserve"> </w:t>
      </w:r>
      <w:r>
        <w:t xml:space="preserve">Permitting use</w:t>
      </w:r>
      <w:r>
        <w:t xml:space="preserve"> </w:t>
      </w:r>
      <w:r>
        <w:rPr>
          <w:rStyle w:val="VerbatimChar"/>
        </w:rPr>
        <w:t xml:space="preserve">{"bundle": BUNDLE, "expected_revision": null}</w:t>
      </w:r>
      <w:r>
        <w:t xml:space="preserve">. Code and</w:t>
      </w:r>
      <w:r>
        <w:t xml:space="preserve"> </w:t>
      </w:r>
      <w:r>
        <w:t xml:space="preserve">Zoning take their own complete import envelopes. Replace null with the</w:t>
      </w:r>
      <w:r>
        <w:t xml:space="preserve"> </w:t>
      </w:r>
      <w:r>
        <w:t xml:space="preserve">current expected revision when revising an existing source, as the</w:t>
      </w:r>
      <w:r>
        <w:t xml:space="preserve"> </w:t>
      </w:r>
      <w:r>
        <w:t xml:space="preserve">applicable schema requires. These are import examples, not legal</w:t>
      </w:r>
      <w:r>
        <w:t xml:space="preserve"> </w:t>
      </w:r>
      <w:r>
        <w:t xml:space="preserve">authority or permission to load them into a live city profile.</w:t>
      </w:r>
    </w:p>
    <w:bookmarkEnd w:id="58"/>
    <w:bookmarkStart w:id="60" w:name="Xc1e641ed528d4025c368f165cf10eb57eaf8eef"/>
    <w:p>
      <w:pPr>
        <w:pStyle w:val="Heading3"/>
      </w:pPr>
      <w:r>
        <w:t xml:space="preserve">A synthetic write</w:t>
      </w:r>
      <w:r>
        <w:t xml:space="preserve"> </w:t>
      </w:r>
      <w:r>
        <w:t xml:space="preserve">with subsequent readback</w:t>
      </w:r>
    </w:p>
    <w:p>
      <w:pPr>
        <w:pStyle w:val="FirstParagraph"/>
      </w:pPr>
      <w:r>
        <w:t xml:space="preserve">This example demonstrates the existing Meetings HTTP contract in an</w:t>
      </w:r>
      <w:r>
        <w:t xml:space="preserve"> </w:t>
      </w:r>
      <w:r>
        <w:t xml:space="preserve">isolated exercise. It is intentionally fictional. It does not start a</w:t>
      </w:r>
      <w:r>
        <w:t xml:space="preserve"> </w:t>
      </w:r>
      <w:r>
        <w:t xml:space="preserve">service. Its authentication setup is included so it can be run</w:t>
      </w:r>
      <w:r>
        <w:t xml:space="preserve"> </w:t>
      </w:r>
      <w:r>
        <w:t xml:space="preserve">independently under the signed-in synthetic account. If a write times</w:t>
      </w:r>
      <w:r>
        <w:t xml:space="preserve"> </w:t>
      </w:r>
      <w:r>
        <w:t xml:space="preserve">out, inspect current records before repeating it.</w:t>
      </w:r>
    </w:p>
    <w:bookmarkStart w:id="59" w:name="cb4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'config/local-session.json'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VariableTok"/>
        </w:rPr>
        <w:t xml:space="preserve">$body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title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documentation exercise'</w:t>
      </w:r>
      <w:r>
        <w:br/>
      </w:r>
      <w:r>
        <w:rPr>
          <w:rStyle w:val="NormalTok"/>
        </w:rPr>
        <w:t xml:space="preserve">  scheduled_start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'2026-11-05T18:00:00-07:00'</w:t>
      </w:r>
      <w:r>
        <w:br/>
      </w:r>
      <w:r>
        <w:rPr>
          <w:rStyle w:val="NormalTok"/>
        </w:rPr>
        <w:t xml:space="preserve">  location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room'</w:t>
      </w:r>
      <w:r>
        <w:br/>
      </w:r>
      <w:r>
        <w:rPr>
          <w:rStyle w:val="NormalTok"/>
        </w:rPr>
        <w:t xml:space="preserve">  meeting_type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'regular'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ConvertTo-Json</w:t>
      </w:r>
      <w:r>
        <w:br/>
      </w:r>
      <w:r>
        <w:rPr>
          <w:rStyle w:val="VariableTok"/>
        </w:rPr>
        <w:t xml:space="preserve">$meeting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Post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'http://127.0.0.1:15480/desktop/v1/meetings/meetings'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ContentType </w:t>
      </w:r>
      <w:r>
        <w:rPr>
          <w:rStyle w:val="StringTok"/>
        </w:rPr>
        <w:t xml:space="preserve">'application/json'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</w:t>
      </w:r>
      <w:r>
        <w:rPr>
          <w:rStyle w:val="VariableTok"/>
        </w:rPr>
        <w:t xml:space="preserve">$body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'http://127.0.0.1:15480/desktop/v1/meetings/meetings/'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$meeting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9"/>
    <w:p>
      <w:pPr>
        <w:pStyle w:val="FirstParagraph"/>
      </w:pPr>
      <w:r>
        <w:t xml:space="preserve">This write requires Meetings to be enabled and the signed-in staff</w:t>
      </w:r>
      <w:r>
        <w:t xml:space="preserve"> </w:t>
      </w:r>
      <w:r>
        <w:t xml:space="preserve">role to permit it. It is a cross-suite integration example; for this</w:t>
      </w:r>
      <w:r>
        <w:t xml:space="preserve"> </w:t>
      </w:r>
      <w:r>
        <w:t xml:space="preserve">product’s request models, use the complete technical reference</w:t>
      </w:r>
      <w:r>
        <w:t xml:space="preserve"> </w:t>
      </w:r>
      <w:r>
        <w:t xml:space="preserve">below.</w:t>
      </w:r>
    </w:p>
    <w:bookmarkEnd w:id="60"/>
    <w:bookmarkStart w:id="64" w:name="complete-technical-contract"/>
    <w:p>
      <w:pPr>
        <w:pStyle w:val="Heading3"/>
      </w:pPr>
      <w:r>
        <w:t xml:space="preserve">Complete technical contract</w:t>
      </w:r>
    </w:p>
    <w:p>
      <w:pPr>
        <w:pStyle w:val="FirstParagraph"/>
      </w:pPr>
      <w:r>
        <w:t xml:space="preserve">Read the</w:t>
      </w:r>
      <w:r>
        <w:t xml:space="preserve"> </w:t>
      </w:r>
      <w:hyperlink r:id="rId61">
        <w:r>
          <w:rPr>
            <w:rStyle w:val="Hyperlink"/>
          </w:rPr>
          <w:t xml:space="preserve">Planning API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for every documented operation, request field, constraint,</w:t>
      </w:r>
      <w:r>
        <w:t xml:space="preserve"> </w:t>
      </w:r>
      <w:r>
        <w:t xml:space="preserve">response declaration and source supplement. Download the</w:t>
      </w:r>
      <w:r>
        <w:t xml:space="preserve"> </w:t>
      </w:r>
      <w:hyperlink r:id="rId62">
        <w:r>
          <w:rPr>
            <w:rStyle w:val="Hyperlink"/>
          </w:rPr>
          <w:t xml:space="preserve">OpenAPI JSON</w:t>
        </w:r>
      </w:hyperlink>
      <w:r>
        <w:t xml:space="preserve"> </w:t>
      </w:r>
      <w:r>
        <w:t xml:space="preserve">for tools.</w:t>
      </w:r>
      <w:r>
        <w:t xml:space="preserve"> </w:t>
      </w:r>
      <w:r>
        <w:t xml:space="preserve">For Station this is the suite-side schema only; its separate service</w:t>
      </w:r>
      <w:r>
        <w:t xml:space="preserve"> </w:t>
      </w:r>
      <w:r>
        <w:t xml:space="preserve">contract is documented in the API supplement. The</w:t>
      </w:r>
      <w:r>
        <w:t xml:space="preserve"> </w:t>
      </w:r>
      <w:hyperlink r:id="rId63">
        <w:r>
          <w:rPr>
            <w:rStyle w:val="Hyperlink"/>
          </w:rPr>
          <w:t xml:space="preserve">reference directory</w:t>
        </w:r>
      </w:hyperlink>
      <w:r>
        <w:t xml:space="preserve"> </w:t>
      </w:r>
      <w:r>
        <w:t xml:space="preserve">includes</w:t>
      </w:r>
      <w:r>
        <w:t xml:space="preserve"> </w:t>
      </w:r>
      <w:r>
        <w:t xml:space="preserve">configuration/source inventories, dependency declarations, native</w:t>
      </w:r>
      <w:r>
        <w:t xml:space="preserve"> </w:t>
      </w:r>
      <w:r>
        <w:t xml:space="preserve">command contracts, MCP signatures and candidate evidence.</w:t>
      </w:r>
    </w:p>
    <w:bookmarkEnd w:id="64"/>
    <w:bookmarkEnd w:id="65"/>
    <w:bookmarkStart w:id="68" w:name="mcp-and-automation-boundary"/>
    <w:p>
      <w:pPr>
        <w:pStyle w:val="Heading2"/>
      </w:pPr>
      <w:r>
        <w:t xml:space="preserve">MCP and automation boundary</w:t>
      </w:r>
    </w:p>
    <w:p>
      <w:pPr>
        <w:pStyle w:val="FirstParagraph"/>
      </w:pPr>
      <w:r>
        <w:t xml:space="preserve">No direct product MCP server is exposed by the accepted Townlight</w:t>
      </w:r>
      <w:r>
        <w:t xml:space="preserve"> </w:t>
      </w:r>
      <w:r>
        <w:t xml:space="preserve">desktop or Station boundary. Do not configure an invented</w:t>
      </w:r>
      <w:r>
        <w:t xml:space="preserve"> </w:t>
      </w:r>
      <w:r>
        <w:rPr>
          <w:rStyle w:val="VerbatimChar"/>
        </w:rPr>
        <w:t xml:space="preserve">townlight mcp</w:t>
      </w:r>
      <w:r>
        <w:t xml:space="preserve"> </w:t>
      </w:r>
      <w:r>
        <w:t xml:space="preserve">command or assume an AI client has staff</w:t>
      </w:r>
      <w:r>
        <w:t xml:space="preserve"> </w:t>
      </w:r>
      <w:r>
        <w:t xml:space="preserve">permissions. The integration surfaces for this beta are native IPC, the</w:t>
      </w:r>
      <w:r>
        <w:t xml:space="preserve"> </w:t>
      </w:r>
      <w:r>
        <w:t xml:space="preserve">documented HTTP APIs, source bundle imports, exact exports and the</w:t>
      </w:r>
      <w:r>
        <w:t xml:space="preserve"> </w:t>
      </w:r>
      <w:r>
        <w:t xml:space="preserve">existing Station CLI.</w:t>
      </w:r>
    </w:p>
    <w:p>
      <w:pPr>
        <w:pStyle w:val="BodyText"/>
      </w:pPr>
      <w:r>
        <w:t xml:space="preserve">The bundled transcription code includes a</w:t>
      </w:r>
      <w:r>
        <w:t xml:space="preserve"> </w:t>
      </w:r>
      <w:r>
        <w:rPr>
          <w:b/>
          <w:bCs/>
        </w:rPr>
        <w:t xml:space="preserve">TextFlowKit MCP</w:t>
      </w:r>
      <w:r>
        <w:rPr>
          <w:b/>
          <w:bCs/>
        </w:rPr>
        <w:t xml:space="preserve"> </w:t>
      </w:r>
      <w:r>
        <w:rPr>
          <w:b/>
          <w:bCs/>
        </w:rPr>
        <w:t xml:space="preserve">adapter</w:t>
      </w:r>
      <w:r>
        <w:t xml:space="preserve"> </w:t>
      </w:r>
      <w:r>
        <w:t xml:space="preserve">as a separate source capability. It offers job-based</w:t>
      </w:r>
      <w:r>
        <w:t xml:space="preserve"> </w:t>
      </w:r>
      <w:r>
        <w:rPr>
          <w:rStyle w:val="VerbatimChar"/>
        </w:rPr>
        <w:t xml:space="preserve">transcribe_media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get_transcript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list_jobs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get_job_status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export_transcript</w:t>
      </w:r>
      <w:r>
        <w:t xml:space="preserve">, and additional tools declared in that</w:t>
      </w:r>
      <w:r>
        <w:t xml:space="preserve"> </w:t>
      </w:r>
      <w:r>
        <w:t xml:space="preserve">adapter. It uses stdio first and optional Streamable HTTP, with the MCP</w:t>
      </w:r>
      <w:r>
        <w:t xml:space="preserve"> </w:t>
      </w:r>
      <w:r>
        <w:t xml:space="preserve">SDK as an optional extra. It is not automatically launched,</w:t>
      </w:r>
      <w:r>
        <w:t xml:space="preserve"> </w:t>
      </w:r>
      <w:r>
        <w:t xml:space="preserve">authenticated as Townlight staff or accepted as a Townlight product MCP</w:t>
      </w:r>
      <w:r>
        <w:t xml:space="preserve"> </w:t>
      </w:r>
      <w:r>
        <w:t xml:space="preserve">deployment. This documentation does not add such a service.</w:t>
      </w:r>
    </w:p>
    <w:p>
      <w:pPr>
        <w:pStyle w:val="BodyText"/>
      </w:pPr>
      <w:r>
        <w:t xml:space="preserve">For a transcription client already provisioned separately, an</w:t>
      </w:r>
      <w:r>
        <w:t xml:space="preserve"> </w:t>
      </w:r>
      <w:r>
        <w:t xml:space="preserve">illustrative tool call is:</w:t>
      </w:r>
    </w:p>
    <w:bookmarkStart w:id="66" w:name="cb5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"get_job_status"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"arguments"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"job_id"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"synthetic-existing-job-id"</w:t>
      </w:r>
      <w:r>
        <w:rPr>
          <w:rStyle w:val="FunctionTok"/>
        </w:rPr>
        <w:t xml:space="preserve">}}</w:t>
      </w:r>
    </w:p>
    <w:bookmarkEnd w:id="66"/>
    <w:p>
      <w:pPr>
        <w:pStyle w:val="FirstParagraph"/>
      </w:pPr>
      <w:r>
        <w:t xml:space="preserve">Use a job ID returned by that transcription service. This example</w:t>
      </w:r>
      <w:r>
        <w:t xml:space="preserve"> </w:t>
      </w:r>
      <w:r>
        <w:t xml:space="preserve">does not create a Townlight record or bypass its review/Records handoff.</w:t>
      </w:r>
      <w:r>
        <w:t xml:space="preserve"> </w:t>
      </w:r>
      <w:r>
        <w:t xml:space="preserve">The exact optional adapter tool signatures are supplied in the</w:t>
      </w:r>
      <w:r>
        <w:t xml:space="preserve"> </w:t>
      </w:r>
      <w:hyperlink r:id="rId67">
        <w:r>
          <w:rPr>
            <w:rStyle w:val="Hyperlink"/>
          </w:rPr>
          <w:t xml:space="preserve">MCP source reference</w:t>
        </w:r>
      </w:hyperlink>
      <w:r>
        <w:t xml:space="preserve">. Station</w:t>
      </w:r>
      <w:r>
        <w:t xml:space="preserve"> </w:t>
      </w:r>
      <w:r>
        <w:t xml:space="preserve">meeting capture does not become live speech recognition because this</w:t>
      </w:r>
      <w:r>
        <w:t xml:space="preserve"> </w:t>
      </w:r>
      <w:r>
        <w:t xml:space="preserve">optional donor adapter exists.</w:t>
      </w:r>
    </w:p>
    <w:bookmarkEnd w:id="68"/>
    <w:bookmarkStart w:id="69" w:name="security-and-permissions"/>
    <w:p>
      <w:pPr>
        <w:pStyle w:val="Heading2"/>
      </w:pPr>
      <w:r>
        <w:t xml:space="preserve">Security and permissions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p>
      <w:pPr>
        <w:pStyle w:val="BodyText"/>
      </w:pPr>
      <w:r>
        <w:t xml:space="preserve">The native session is validated and mapped to a persisted SQL</w:t>
      </w:r>
      <w:r>
        <w:t xml:space="preserve"> </w:t>
      </w:r>
      <w:r>
        <w:t xml:space="preserve">identity. An editable actor/reviewer label is not authentication.</w:t>
      </w:r>
      <w:r>
        <w:t xml:space="preserve"> </w:t>
      </w:r>
      <w:r>
        <w:t xml:space="preserve">Product/module permissions and source visibility apply at the server</w:t>
      </w:r>
      <w:r>
        <w:t xml:space="preserve"> </w:t>
      </w:r>
      <w:r>
        <w:t xml:space="preserve">boundary. Revoked/unavailable authority fails closed for new Station</w:t>
      </w:r>
      <w:r>
        <w:t xml:space="preserve"> </w:t>
      </w:r>
      <w:r>
        <w:t xml:space="preserve">operations; a previous permission result is not a perpetual</w:t>
      </w:r>
      <w:r>
        <w:t xml:space="preserve"> </w:t>
      </w:r>
      <w:r>
        <w:t xml:space="preserve">authorization.</w:t>
      </w:r>
    </w:p>
    <w:p>
      <w:pPr>
        <w:pStyle w:val="BodyText"/>
      </w:pPr>
      <w:r>
        <w:t xml:space="preserve">Use protected local folders, account permissions and credential</w:t>
      </w:r>
      <w:r>
        <w:t xml:space="preserve"> </w:t>
      </w:r>
      <w:r>
        <w:t xml:space="preserve">storage. Never include the native session file, database passwords,</w:t>
      </w:r>
      <w:r>
        <w:t xml:space="preserve"> </w:t>
      </w:r>
      <w:r>
        <w:t xml:space="preserve">provider keys or unredacted support bundles in a public issue or</w:t>
      </w:r>
      <w:r>
        <w:t xml:space="preserve"> </w:t>
      </w:r>
      <w:r>
        <w:t xml:space="preserve">generated public documentation. A local public view is not automatically</w:t>
      </w:r>
      <w:r>
        <w:t xml:space="preserve"> </w:t>
      </w:r>
      <w:r>
        <w:t xml:space="preserve">a secured internet deployment. Keep network exposure and real equipment</w:t>
      </w:r>
      <w:r>
        <w:t xml:space="preserve"> </w:t>
      </w:r>
      <w:r>
        <w:t xml:space="preserve">acceptance specific to the chosen beta site.</w:t>
      </w:r>
    </w:p>
    <w:bookmarkEnd w:id="69"/>
    <w:bookmarkStart w:id="70" w:name="backup-recovery-and-maintenance"/>
    <w:p>
      <w:pPr>
        <w:pStyle w:val="Heading2"/>
      </w:pPr>
      <w:r>
        <w:t xml:space="preserve">Backup recovery and</w:t>
      </w:r>
      <w:r>
        <w:t xml:space="preserve"> </w:t>
      </w:r>
      <w:r>
        <w:t xml:space="preserve">maintenance</w:t>
      </w:r>
    </w:p>
    <w:p>
      <w:pPr>
        <w:pStyle w:val="FirstParagraph"/>
      </w:pPr>
      <w:r>
        <w:t xml:space="preserve">Save work and use Core’s canonical</w:t>
      </w:r>
      <w:r>
        <w:t xml:space="preserve"> </w:t>
      </w:r>
      <w:r>
        <w:rPr>
          <w:b/>
          <w:bCs/>
        </w:rPr>
        <w:t xml:space="preserve">Backup Now</w:t>
      </w:r>
      <w:r>
        <w:t xml:space="preserve"> </w:t>
      </w:r>
      <w:r>
        <w:t xml:space="preserve">before</w:t>
      </w:r>
      <w:r>
        <w:t xml:space="preserve"> </w:t>
      </w:r>
      <w:r>
        <w:t xml:space="preserve">maintenance. That operation stops writers. Preserve the coherent</w:t>
      </w:r>
      <w:r>
        <w:t xml:space="preserve"> </w:t>
      </w:r>
      <w:r>
        <w:t xml:space="preserve">profile/database/document backup and its receipt, then use</w:t>
      </w:r>
      <w:r>
        <w:t xml:space="preserve"> </w:t>
      </w:r>
      <w:r>
        <w:rPr>
          <w:b/>
          <w:bCs/>
        </w:rPr>
        <w:t xml:space="preserve">Start</w:t>
      </w:r>
      <w:r>
        <w:t xml:space="preserve"> </w:t>
      </w:r>
      <w:r>
        <w:t xml:space="preserve">to resume. A source export is not a full</w:t>
      </w:r>
      <w:r>
        <w:t xml:space="preserve"> </w:t>
      </w:r>
      <w:r>
        <w:t xml:space="preserve">backup.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b/>
          <w:bCs/>
        </w:rPr>
        <w:t xml:space="preserve">Restore Latest Backup</w:t>
      </w:r>
      <w:r>
        <w:t xml:space="preserve"> </w:t>
      </w:r>
      <w:r>
        <w:t xml:space="preserve">through the supported</w:t>
      </w:r>
      <w:r>
        <w:t xml:space="preserve"> </w:t>
      </w:r>
      <w:r>
        <w:t xml:space="preserve">controls. If the result says</w:t>
      </w:r>
      <w:r>
        <w:t xml:space="preserve"> </w:t>
      </w:r>
      <w:r>
        <w:rPr>
          <w:b/>
          <w:bCs/>
        </w:rPr>
        <w:t xml:space="preserve">Restore needs service</w:t>
      </w:r>
      <w:r>
        <w:rPr>
          <w:b/>
          <w:bCs/>
        </w:rPr>
        <w:t xml:space="preserve"> </w:t>
      </w:r>
      <w:r>
        <w:rPr>
          <w:b/>
          <w:bCs/>
        </w:rPr>
        <w:t xml:space="preserve">start</w:t>
      </w:r>
      <w:r>
        <w:t xml:space="preserve">, use</w:t>
      </w:r>
      <w:r>
        <w:t xml:space="preserve"> </w:t>
      </w:r>
      <w:r>
        <w:rPr>
          <w:b/>
          <w:bCs/>
        </w:rPr>
        <w:t xml:space="preserve">Start</w:t>
      </w:r>
      <w:r>
        <w:t xml:space="preserve">, then</w:t>
      </w:r>
      <w:r>
        <w:t xml:space="preserve"> </w:t>
      </w:r>
      <w:r>
        <w:rPr>
          <w:b/>
          <w:bCs/>
        </w:rPr>
        <w:t xml:space="preserve">Check</w:t>
      </w:r>
      <w:r>
        <w:t xml:space="preserve">,</w:t>
      </w:r>
      <w:r>
        <w:t xml:space="preserve"> </w:t>
      </w:r>
      <w:r>
        <w:t xml:space="preserve">and reopen a known record. Do not repeat restore merely because services</w:t>
      </w:r>
      <w:r>
        <w:t xml:space="preserve"> </w:t>
      </w:r>
      <w:r>
        <w:t xml:space="preserve">need to start. The fresh-profile acceptance verified that a fulfilled</w:t>
      </w:r>
      <w:r>
        <w:t xml:space="preserve"> </w:t>
      </w:r>
      <w:r>
        <w:t xml:space="preserve">request survived restore and a post-backup marker did not.</w:t>
      </w:r>
    </w:p>
    <w:p>
      <w:pPr>
        <w:pStyle w:val="BodyText"/>
      </w:pPr>
      <w:r>
        <w:t xml:space="preserve">Keep Station’s dedicated database and media evidence together in its</w:t>
      </w:r>
      <w:r>
        <w:t xml:space="preserve"> </w:t>
      </w:r>
      <w:r>
        <w:t xml:space="preserve">own backup. Core’s native-profile backup must not be assumed to include</w:t>
      </w:r>
      <w:r>
        <w:t xml:space="preserve"> </w:t>
      </w:r>
      <w:r>
        <w:t xml:space="preserve">an external Station data directory. Stop writers during a coordinated</w:t>
      </w:r>
      <w:r>
        <w:t xml:space="preserve"> </w:t>
      </w:r>
      <w:r>
        <w:t xml:space="preserve">backup. Preserve failed media attempts and logs.</w:t>
      </w:r>
    </w:p>
    <w:p>
      <w:pPr>
        <w:pStyle w:val="BodyText"/>
      </w:pPr>
      <w:r>
        <w:t xml:space="preserve">On failure, record the time, selected composition,</w:t>
      </w:r>
      <w:r>
        <w:t xml:space="preserve"> </w:t>
      </w:r>
      <w:r>
        <w:t xml:space="preserve">component/installer versions and exact message. Check System Health for</w:t>
      </w:r>
      <w:r>
        <w:t xml:space="preserve"> </w:t>
      </w:r>
      <w:r>
        <w:t xml:space="preserve">stopped, starting, ready or failed dependencies. Use the existing Retry</w:t>
      </w:r>
      <w:r>
        <w:t xml:space="preserve"> </w:t>
      </w:r>
      <w:r>
        <w:t xml:space="preserve">control after readiness; do not create duplicate business records to</w:t>
      </w:r>
      <w:r>
        <w:t xml:space="preserve"> </w:t>
      </w:r>
      <w:r>
        <w:t xml:space="preserve">refresh a stale view. Share only a redacted diagnostic bundle. Preserve</w:t>
      </w:r>
      <w:r>
        <w:t xml:space="preserve"> </w:t>
      </w:r>
      <w:r>
        <w:t xml:space="preserve">secrets, original evidence, recovery material and unrelated</w:t>
      </w:r>
      <w:r>
        <w:t xml:space="preserve"> </w:t>
      </w:r>
      <w:r>
        <w:t xml:space="preserve">installations.</w:t>
      </w:r>
    </w:p>
    <w:bookmarkEnd w:id="70"/>
    <w:bookmarkStart w:id="71" w:name="troubleshooting"/>
    <w:p>
      <w:pPr>
        <w:pStyle w:val="Heading2"/>
      </w:pPr>
      <w:r>
        <w:t xml:space="preserve">Troubleshooting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</w:t>
            </w:r>
          </w:p>
        </w:tc>
        <w:tc>
          <w:tcPr/>
          <w:p>
            <w:pPr>
              <w:pStyle w:val="Compact"/>
            </w:pPr>
            <w:r>
              <w:t xml:space="preserve">Likely meaning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Workspace absent</w:t>
            </w:r>
          </w:p>
        </w:tc>
        <w:tc>
          <w:tcPr/>
          <w:p>
            <w:pPr>
              <w:pStyle w:val="Compact"/>
            </w:pPr>
            <w:r>
              <w:t xml:space="preserve">Wrong product composition or unavailable canonical runtime.</w:t>
            </w:r>
          </w:p>
        </w:tc>
        <w:tc>
          <w:tcPr/>
          <w:p>
            <w:pPr>
              <w:pStyle w:val="Compact"/>
            </w:pPr>
            <w:r>
              <w:t xml:space="preserve">Check selected composition; activate through Finish Records</w:t>
            </w:r>
            <w:r>
              <w:t xml:space="preserve"> </w:t>
            </w:r>
            <w:r>
              <w:t xml:space="preserve">Migration; wait for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Cannot sign in / 401</w:t>
            </w:r>
          </w:p>
        </w:tc>
        <w:tc>
          <w:tcPr/>
          <w:p>
            <w:pPr>
              <w:pStyle w:val="Compact"/>
            </w:pPr>
            <w:r>
              <w:t xml:space="preserve">Missing or expired named account session.</w:t>
            </w:r>
          </w:p>
        </w:tc>
        <w:tc>
          <w:tcPr/>
          <w:p>
            <w:pPr>
              <w:pStyle w:val="Compact"/>
            </w:pPr>
            <w:r>
              <w:t xml:space="preserve">Sign in normally; reopen a Station launch ticket if applicable.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 denied / 403</w:t>
            </w:r>
          </w:p>
        </w:tc>
        <w:tc>
          <w:tcPr/>
          <w:p>
            <w:pPr>
              <w:pStyle w:val="Compact"/>
            </w:pPr>
            <w:r>
              <w:t xml:space="preserve">Account, module, source or browser-origin permission.</w:t>
            </w:r>
          </w:p>
        </w:tc>
        <w:tc>
          <w:tcPr/>
          <w:p>
            <w:pPr>
              <w:pStyle w:val="Compact"/>
            </w:pPr>
            <w:r>
              <w:t xml:space="preserve">Ask the authorized administrator to inspect the intended permission;</w:t>
            </w:r>
            <w:r>
              <w:t xml:space="preserve"> </w:t>
            </w:r>
            <w:r>
              <w:t xml:space="preserve">do not invent role headers.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conflict / 409</w:t>
            </w:r>
          </w:p>
        </w:tc>
        <w:tc>
          <w:tcPr/>
          <w:p>
            <w:pPr>
              <w:pStyle w:val="Compact"/>
            </w:pPr>
            <w:r>
              <w:t xml:space="preserve">The saved revision, expected source hash or lifecycle changed.</w:t>
            </w:r>
          </w:p>
        </w:tc>
        <w:tc>
          <w:tcPr/>
          <w:p>
            <w:pPr>
              <w:pStyle w:val="Compact"/>
            </w:pPr>
            <w:r>
              <w:t xml:space="preserve">Keep edits, reopen current state and reconcile deliberately.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Invalid input / 422</w:t>
            </w:r>
          </w:p>
        </w:tc>
        <w:tc>
          <w:tcPr/>
          <w:p>
            <w:pPr>
              <w:pStyle w:val="Compact"/>
            </w:pPr>
            <w:r>
              <w:t xml:space="preserve">Required field, format, geometry, source envelope or state is</w:t>
            </w:r>
            <w:r>
              <w:t xml:space="preserve"> </w:t>
            </w:r>
            <w:r>
              <w:t xml:space="preserve">invalid.</w:t>
            </w:r>
          </w:p>
        </w:tc>
        <w:tc>
          <w:tcPr/>
          <w:p>
            <w:pPr>
              <w:pStyle w:val="Compact"/>
            </w:pPr>
            <w:r>
              <w:t xml:space="preserve">Read the field detail and correct the input/source; preserve</w:t>
            </w:r>
            <w:r>
              <w:t xml:space="preserve"> </w:t>
            </w:r>
            <w:r>
              <w:t xml:space="preserve">originals.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 unavailable / 503</w:t>
            </w:r>
          </w:p>
        </w:tc>
        <w:tc>
          <w:tcPr/>
          <w:p>
            <w:pPr>
              <w:pStyle w:val="Compact"/>
            </w:pPr>
            <w:r>
              <w:t xml:space="preserve">Database, schema, connected source or configuration</w:t>
            </w:r>
            <w:r>
              <w:t xml:space="preserve"> </w:t>
            </w:r>
            <w:r>
              <w:t xml:space="preserve">unavailable.</w:t>
            </w:r>
          </w:p>
        </w:tc>
        <w:tc>
          <w:tcPr/>
          <w:p>
            <w:pPr>
              <w:pStyle w:val="Compact"/>
            </w:pPr>
            <w:r>
              <w:t xml:space="preserve">Inspect System Health and the named dependency. Preserve work; retry</w:t>
            </w:r>
            <w:r>
              <w:t xml:space="preserve"> </w:t>
            </w:r>
            <w:r>
              <w:t xml:space="preserve">only after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Export refused</w:t>
            </w:r>
          </w:p>
        </w:tc>
        <w:tc>
          <w:tcPr/>
          <w:p>
            <w:pPr>
              <w:pStyle w:val="Compact"/>
            </w:pPr>
            <w:r>
              <w:t xml:space="preserve">Missing exact review, approval, audience or source</w:t>
            </w:r>
            <w:r>
              <w:t xml:space="preserve"> </w:t>
            </w:r>
            <w:r>
              <w:t xml:space="preserve">authorization.</w:t>
            </w:r>
          </w:p>
        </w:tc>
        <w:tc>
          <w:tcPr/>
          <w:p>
            <w:pPr>
              <w:pStyle w:val="Compact"/>
            </w:pPr>
            <w:r>
              <w:t xml:space="preserve">Read the refusal and complete the owning product’s explicit</w:t>
            </w:r>
            <w:r>
              <w:t xml:space="preserve"> </w:t>
            </w:r>
            <w:r>
              <w:t xml:space="preserve">decision.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Restore needs service start</w:t>
            </w:r>
          </w:p>
        </w:tc>
        <w:tc>
          <w:tcPr/>
          <w:p>
            <w:pPr>
              <w:pStyle w:val="Compact"/>
            </w:pPr>
            <w:r>
              <w:t xml:space="preserve">The snapshot was restored but services have not resumed.</w:t>
            </w:r>
          </w:p>
        </w:tc>
        <w:tc>
          <w:tcPr/>
          <w:p>
            <w:pPr>
              <w:pStyle w:val="Compact"/>
            </w:pPr>
            <w:r>
              <w:t xml:space="preserve">Use Start, then Check and verify a saved record; do not blindly</w:t>
            </w:r>
            <w:r>
              <w:t xml:space="preserve"> </w:t>
            </w:r>
            <w:r>
              <w:t xml:space="preserve">repeat restore.</w:t>
            </w:r>
          </w:p>
        </w:tc>
      </w:tr>
    </w:tbl>
    <w:bookmarkEnd w:id="71"/>
    <w:bookmarkStart w:id="73" w:name="verified-workflows-and-limits"/>
    <w:p>
      <w:pPr>
        <w:pStyle w:val="Heading2"/>
      </w:pPr>
      <w:r>
        <w:t xml:space="preserve">Verified workflows and</w:t>
      </w:r>
      <w:r>
        <w:t xml:space="preserve"> </w:t>
      </w:r>
      <w:r>
        <w:t xml:space="preserve">limits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Recorded result</w:t>
            </w:r>
          </w:p>
        </w:tc>
        <w:tc>
          <w:tcPr/>
          <w:p>
            <w:pPr>
              <w:pStyle w:val="Compact"/>
            </w:pPr>
            <w:r>
              <w:t xml:space="preserve">Precisely exercised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Planning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Adopted source import with neighborhood, saved/reviewed analysis and</w:t>
            </w:r>
            <w:r>
              <w:t xml:space="preserve"> </w:t>
            </w:r>
            <w:r>
              <w:t xml:space="preserve">snapshot, persisted initiative/history and draft amendment, public</w:t>
            </w:r>
            <w:r>
              <w:t xml:space="preserve"> </w:t>
            </w:r>
            <w:r>
              <w:t xml:space="preserve">explorer neighborhood readback and native workspace.</w:t>
            </w:r>
          </w:p>
        </w:tc>
      </w:tr>
    </w:tbl>
    <w:p>
      <w:pPr>
        <w:pStyle w:val="BodyText"/>
      </w:pPr>
      <w:r>
        <w:t xml:space="preserve">These results come from the identified signed candidate’s fresh</w:t>
      </w:r>
      <w:r>
        <w:t xml:space="preserve"> </w:t>
      </w:r>
      <w:r>
        <w:t xml:space="preserve">normal-profile Sandbox exercise: real native IPC/HTTP/PostgreSQL and</w:t>
      </w:r>
      <w:r>
        <w:t xml:space="preserve"> </w:t>
      </w:r>
      <w:r>
        <w:t xml:space="preserve">selected headless controls. All accounts, source bundles and media were</w:t>
      </w:r>
      <w:r>
        <w:t xml:space="preserve"> </w:t>
      </w:r>
      <w:r>
        <w:t xml:space="preserve">synthetic. The guest install/uninstall and recovery passed, and the</w:t>
      </w:r>
      <w:r>
        <w:t xml:space="preserve"> </w:t>
      </w:r>
      <w:r>
        <w:t xml:space="preserve">owned Sandbox stopped. No host installed application or standalone</w:t>
      </w:r>
      <w:r>
        <w:t xml:space="preserve"> </w:t>
      </w:r>
      <w:r>
        <w:t xml:space="preserve">CivicCast was changed. This documentation task reuses those receipts; it</w:t>
      </w:r>
      <w:r>
        <w:t xml:space="preserve"> </w:t>
      </w:r>
      <w:r>
        <w:t xml:space="preserve">does not claim a new software acceptance run.</w:t>
      </w:r>
    </w:p>
    <w:p>
      <w:pPr>
        <w:pStyle w:val="BodyText"/>
      </w:pPr>
      <w:r>
        <w:t xml:space="preserve">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this MSI. The historical</w:t>
      </w:r>
      <w:r>
        <w:t xml:space="preserve"> </w:t>
      </w:r>
      <w:hyperlink r:id="rId72">
        <w:r>
          <w:rPr>
            <w:rStyle w:val="Hyperlink"/>
          </w:rPr>
          <w:t xml:space="preserve">evidence index</w:t>
        </w:r>
      </w:hyperlink>
      <w:r>
        <w:t xml:space="preserve"> </w:t>
      </w:r>
      <w:r>
        <w:t xml:space="preserve">applies to its original build.</w:t>
      </w:r>
    </w:p>
    <w:p>
      <w:pPr>
        <w:pStyle w:val="BodyText"/>
      </w:pPr>
      <w:r>
        <w:t xml:space="preserve">The limits remain: actual city field acceptance and equipment/network</w:t>
      </w:r>
      <w:r>
        <w:t xml:space="preserve"> </w:t>
      </w:r>
      <w:r>
        <w:t xml:space="preserve">commissioning; Station automatic provisioning/SCM commissioning; every</w:t>
      </w:r>
      <w:r>
        <w:t xml:space="preserve"> </w:t>
      </w:r>
      <w:r>
        <w:t xml:space="preserve">UI/role combination; field recognition accuracy; and historical in-place</w:t>
      </w:r>
      <w:r>
        <w:t xml:space="preserve"> </w:t>
      </w:r>
      <w:r>
        <w:t xml:space="preserve">upgrades are not certified. They are not five invented feature</w:t>
      </w:r>
      <w:r>
        <w:t xml:space="preserve"> </w:t>
      </w:r>
      <w:r>
        <w:t xml:space="preserve">requirements. Fresh-install controlled beta handoff remains the accepted</w:t>
      </w:r>
      <w:r>
        <w:t xml:space="preserve"> </w:t>
      </w:r>
      <w:r>
        <w:t xml:space="preserve">scope. This package makes no city-deployment, publication or</w:t>
      </w:r>
      <w:r>
        <w:t xml:space="preserve"> </w:t>
      </w:r>
      <w:r>
        <w:t xml:space="preserve">general-availability claim.</w:t>
      </w:r>
    </w:p>
    <w:bookmarkEnd w:id="73"/>
    <w:bookmarkStart w:id="85" w:name="terms-of-service-and-license"/>
    <w:p>
      <w:pPr>
        <w:pStyle w:val="Heading2"/>
      </w:pPr>
      <w:r>
        <w:t xml:space="preserve">Terms of service and license</w:t>
      </w:r>
    </w:p>
    <w:bookmarkStart w:id="74" w:name="scope-and-status"/>
    <w:p>
      <w:pPr>
        <w:pStyle w:val="Heading3"/>
      </w:pPr>
      <w:r>
        <w:t xml:space="preserve">Scope and status</w:t>
      </w:r>
    </w:p>
    <w:p>
      <w:pPr>
        <w:pStyle w:val="FirstParagraph"/>
      </w:pPr>
      <w:r>
        <w:t xml:space="preserve">These terms describe the Townlight Beta 1 software and this</w:t>
      </w:r>
      <w:r>
        <w:t xml:space="preserve"> </w:t>
      </w:r>
      <w:r>
        <w:t xml:space="preserve">documentation package. This public Windows beta is for evaluation. No uptime commitment, support response time, indemnity,</w:t>
      </w:r>
      <w:r>
        <w:t xml:space="preserve"> </w:t>
      </w:r>
      <w:r>
        <w:t xml:space="preserve">data-processing agreement or paid service is created by these documents.</w:t>
      </w:r>
      <w:r>
        <w:t xml:space="preserve"> </w:t>
      </w:r>
      <w:r>
        <w:t xml:space="preserve">A separate signed agreement, if any, governs services it actually</w:t>
      </w:r>
      <w:r>
        <w:t xml:space="preserve"> </w:t>
      </w:r>
      <w:r>
        <w:t xml:space="preserve">provides.</w:t>
      </w:r>
    </w:p>
    <w:bookmarkEnd w:id="74"/>
    <w:bookmarkStart w:id="77" w:name="software-license-and-rights"/>
    <w:p>
      <w:pPr>
        <w:pStyle w:val="Heading3"/>
      </w:pPr>
      <w:r>
        <w:t xml:space="preserve">Software license and rights</w:t>
      </w:r>
    </w:p>
    <w:p>
      <w:pPr>
        <w:pStyle w:val="FirstParagraph"/>
      </w:pPr>
      <w:r>
        <w:t xml:space="preserve">Current Townlight-owned distributions identified in this candidate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AGPL-3.0-only</w:t>
      </w:r>
      <w:r>
        <w:t xml:space="preserve">. The full license is supplied with</w:t>
      </w:r>
      <w:r>
        <w:t xml:space="preserve"> </w:t>
      </w:r>
      <w:r>
        <w:t xml:space="preserve">this documentation and with the source companion. The license governs</w:t>
      </w:r>
      <w:r>
        <w:t xml:space="preserve"> </w:t>
      </w:r>
      <w:r>
        <w:t xml:space="preserve">rights to run, copy, modify and convey the covered software; these</w:t>
      </w:r>
      <w:r>
        <w:t xml:space="preserve"> </w:t>
      </w:r>
      <w:r>
        <w:t xml:space="preserve">operational terms do not add restrictions to those rights. Historical</w:t>
      </w:r>
      <w:r>
        <w:t xml:space="preserve"> </w:t>
      </w:r>
      <w:r>
        <w:t xml:space="preserve">grants and dependency licenses retain their own terms. CivicCast remains</w:t>
      </w:r>
      <w:r>
        <w:t xml:space="preserve"> </w:t>
      </w:r>
      <w:r>
        <w:t xml:space="preserve">a separate product and is not relicensed by this documentation work.</w:t>
      </w:r>
    </w:p>
    <w:p>
      <w:pPr>
        <w:pStyle w:val="BodyText"/>
      </w:pPr>
      <w:r>
        <w:t xml:space="preserve">When conveying covered software, retain applicable notices and</w:t>
      </w:r>
      <w:r>
        <w:t xml:space="preserve"> </w:t>
      </w:r>
      <w:r>
        <w:t xml:space="preserve">provide the corresponding source and installation/build information</w:t>
      </w:r>
      <w:r>
        <w:t xml:space="preserve"> </w:t>
      </w:r>
      <w:r>
        <w:t xml:space="preserve">required by the license. For a modified version supporting remote</w:t>
      </w:r>
      <w:r>
        <w:t xml:space="preserve"> </w:t>
      </w:r>
      <w:r>
        <w:t xml:space="preserve">network interaction, follow section 13’s source-offer requirement. The</w:t>
      </w:r>
      <w:r>
        <w:t xml:space="preserve"> </w:t>
      </w:r>
      <w:r>
        <w:t xml:space="preserve">companion archive identifies the source for this candidate; a link to a</w:t>
      </w:r>
      <w:r>
        <w:t xml:space="preserve"> </w:t>
      </w:r>
      <w:r>
        <w:t xml:space="preserve">different public branch is not a substitute for the matching source.</w:t>
      </w:r>
      <w:r>
        <w:t xml:space="preserve"> </w:t>
      </w:r>
      <w:r>
        <w:t xml:space="preserve">Read the supplied license for the complete conditions. See the</w:t>
      </w:r>
      <w:r>
        <w:t xml:space="preserve"> </w:t>
      </w:r>
      <w:hyperlink r:id="rId75">
        <w:r>
          <w:rPr>
            <w:rStyle w:val="Hyperlink"/>
          </w:rPr>
          <w:t xml:space="preserve">GNU license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and</w:t>
      </w:r>
      <w:r>
        <w:t xml:space="preserve"> </w:t>
      </w:r>
      <w:hyperlink r:id="rId76">
        <w:r>
          <w:rPr>
            <w:rStyle w:val="Hyperlink"/>
          </w:rPr>
          <w:t xml:space="preserve">GNU licensing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FAQ</w:t>
        </w:r>
      </w:hyperlink>
      <w:r>
        <w:t xml:space="preserve">.</w:t>
      </w:r>
    </w:p>
    <w:bookmarkEnd w:id="77"/>
    <w:bookmarkStart w:id="78" w:name="data-ownership-and-access"/>
    <w:p>
      <w:pPr>
        <w:pStyle w:val="Heading3"/>
      </w:pPr>
      <w:r>
        <w:t xml:space="preserve">Data ownership and access</w:t>
      </w:r>
    </w:p>
    <w:p>
      <w:pPr>
        <w:pStyle w:val="FirstParagraph"/>
      </w:pPr>
      <w:r>
        <w:t xml:space="preserve">Importing a document does not transfer its ownership or grant</w:t>
      </w:r>
      <w:r>
        <w:t xml:space="preserve"> </w:t>
      </w:r>
      <w:r>
        <w:t xml:space="preserve">permission to publish it. The operating organization controls its</w:t>
      </w:r>
      <w:r>
        <w:t xml:space="preserve"> </w:t>
      </w:r>
      <w:r>
        <w:t xml:space="preserve">accounts, access decisions, lawful source use, retention and</w:t>
      </w:r>
      <w:r>
        <w:t xml:space="preserve"> </w:t>
      </w:r>
      <w:r>
        <w:t xml:space="preserve">review/release policy. Keep resident information, credentials, private</w:t>
      </w:r>
      <w:r>
        <w:t xml:space="preserve"> </w:t>
      </w:r>
      <w:r>
        <w:t xml:space="preserve">notes and restricted evidence in their authorized locations.</w:t>
      </w:r>
      <w:r>
        <w:t xml:space="preserve"> </w:t>
      </w:r>
      <w:r>
        <w:t xml:space="preserve">Documentation examples contain fictional data. No real city account,</w:t>
      </w:r>
      <w:r>
        <w:t xml:space="preserve"> </w:t>
      </w:r>
      <w:r>
        <w:t xml:space="preserve">credential or record is required to exercise these examples in an</w:t>
      </w:r>
      <w:r>
        <w:t xml:space="preserve"> </w:t>
      </w:r>
      <w:r>
        <w:t xml:space="preserve">isolated test environment.</w:t>
      </w:r>
    </w:p>
    <w:bookmarkEnd w:id="78"/>
    <w:bookmarkStart w:id="79" w:name="local-operation-and-external-processors"/>
    <w:p>
      <w:pPr>
        <w:pStyle w:val="Heading3"/>
      </w:pPr>
      <w:r>
        <w:t xml:space="preserve">Local operation and</w:t>
      </w:r>
      <w:r>
        <w:t xml:space="preserve"> </w:t>
      </w:r>
      <w:r>
        <w:t xml:space="preserve">external processors</w:t>
      </w:r>
    </w:p>
    <w:p>
      <w:pPr>
        <w:pStyle w:val="FirstParagraph"/>
      </w:pPr>
      <w:r>
        <w:t xml:space="preserve">The accepted beta workflow is local and uses named staff accounts.</w:t>
      </w:r>
      <w:r>
        <w:t xml:space="preserve"> </w:t>
      </w:r>
      <w:r>
        <w:t xml:space="preserve">Station has separate storage and credentials. Configure backup</w:t>
      </w:r>
      <w:r>
        <w:t xml:space="preserve"> </w:t>
      </w:r>
      <w:r>
        <w:t xml:space="preserve">destinations and optional model/network providers deliberately. A</w:t>
      </w:r>
      <w:r>
        <w:t xml:space="preserve"> </w:t>
      </w:r>
      <w:r>
        <w:t xml:space="preserve">configured external provider may receive submitted prompts, images or</w:t>
      </w:r>
      <w:r>
        <w:t xml:space="preserve"> </w:t>
      </w:r>
      <w:r>
        <w:t xml:space="preserve">audio according to that configuration and provider’s terms; this</w:t>
      </w:r>
      <w:r>
        <w:t xml:space="preserve"> </w:t>
      </w:r>
      <w:r>
        <w:t xml:space="preserve">documentation does not promise that every optional configuration is</w:t>
      </w:r>
      <w:r>
        <w:t xml:space="preserve"> </w:t>
      </w:r>
      <w:r>
        <w:t xml:space="preserve">offline. An email outbox or local public view does not establish</w:t>
      </w:r>
      <w:r>
        <w:t xml:space="preserve"> </w:t>
      </w:r>
      <w:r>
        <w:t xml:space="preserve">external delivery or an internet deployment. This static documentation</w:t>
      </w:r>
      <w:r>
        <w:t xml:space="preserve"> </w:t>
      </w:r>
      <w:r>
        <w:t xml:space="preserve">site has no analytics, account collection or remote font dependency.</w:t>
      </w:r>
    </w:p>
    <w:bookmarkEnd w:id="79"/>
    <w:bookmarkStart w:id="80" w:name="staff-decisions-and-source-applicability"/>
    <w:p>
      <w:pPr>
        <w:pStyle w:val="Heading3"/>
      </w:pPr>
      <w:r>
        <w:t xml:space="preserve">Staff decisions and</w:t>
      </w:r>
      <w:r>
        <w:t xml:space="preserve"> </w:t>
      </w:r>
      <w:r>
        <w:t xml:space="preserve">source applicability</w:t>
      </w:r>
    </w:p>
    <w:p>
      <w:pPr>
        <w:pStyle w:val="FirstParagraph"/>
      </w:pPr>
      <w:r>
        <w:t xml:space="preserve">Staff verify the jurisdiction, source currency, permissions,</w:t>
      </w:r>
      <w:r>
        <w:t xml:space="preserve"> </w:t>
      </w:r>
      <w:r>
        <w:t xml:space="preserve">citations and proposed audience. Model output and generated guidance</w:t>
      </w:r>
      <w:r>
        <w:t xml:space="preserve"> </w:t>
      </w:r>
      <w:r>
        <w:t xml:space="preserve">require review. No draft is automatically an official legal</w:t>
      </w:r>
      <w:r>
        <w:t xml:space="preserve"> </w:t>
      </w:r>
      <w:r>
        <w:t xml:space="preserve">interpretation, zoning determination, permit approval, fee assessment,</w:t>
      </w:r>
      <w:r>
        <w:t xml:space="preserve"> </w:t>
      </w:r>
      <w:r>
        <w:t xml:space="preserve">enforcement notice or records-release decision. Official permit fee</w:t>
      </w:r>
      <w:r>
        <w:t xml:space="preserve"> </w:t>
      </w:r>
      <w:r>
        <w:t xml:space="preserve">authority remains with the adopted source and responsible organization;</w:t>
      </w:r>
      <w:r>
        <w:t xml:space="preserve"> </w:t>
      </w:r>
      <w:r>
        <w:t xml:space="preserve">imported amounts do not become a new authoritative calculation.</w:t>
      </w:r>
    </w:p>
    <w:bookmarkEnd w:id="80"/>
    <w:bookmarkStart w:id="81" w:name="beta-operation-and-recovery"/>
    <w:p>
      <w:pPr>
        <w:pStyle w:val="Heading3"/>
      </w:pPr>
      <w:r>
        <w:t xml:space="preserve">Beta operation and recovery</w:t>
      </w:r>
    </w:p>
    <w:p>
      <w:pPr>
        <w:pStyle w:val="FirstParagraph"/>
      </w:pPr>
      <w:r>
        <w:t xml:space="preserve">Use the identified candidate in its supported fresh-install scope.</w:t>
      </w:r>
      <w:r>
        <w:t xml:space="preserve"> </w:t>
      </w:r>
      <w:r>
        <w:t xml:space="preserve">Preserve backups and original evidence. Test physical equipment and</w:t>
      </w:r>
      <w:r>
        <w:t xml:space="preserve"> </w:t>
      </w:r>
      <w:r>
        <w:t xml:space="preserve">chosen network/service configuration before relying on them. The</w:t>
      </w:r>
      <w:r>
        <w:t xml:space="preserve"> </w:t>
      </w:r>
      <w:r>
        <w:t xml:space="preserve">supplied acceptance describes selected synthetic workflows, not every</w:t>
      </w:r>
      <w:r>
        <w:t xml:space="preserve"> </w:t>
      </w:r>
      <w:r>
        <w:t xml:space="preserve">screen, vendor, field condition or upgrade. Operators decide whether a</w:t>
      </w:r>
      <w:r>
        <w:t xml:space="preserve"> </w:t>
      </w:r>
      <w:r>
        <w:t xml:space="preserve">particular deployment meets their own operational obligations.</w:t>
      </w:r>
    </w:p>
    <w:bookmarkEnd w:id="81"/>
    <w:bookmarkStart w:id="82" w:name="warranty-and-liability"/>
    <w:p>
      <w:pPr>
        <w:pStyle w:val="Heading3"/>
      </w:pPr>
      <w:r>
        <w:t xml:space="preserve">Warranty and liability</w:t>
      </w:r>
    </w:p>
    <w:p>
      <w:pPr>
        <w:pStyle w:val="FirstParagraph"/>
      </w:pPr>
      <w:r>
        <w:t xml:space="preserve">The covered software’s warranty and liability conditions are those in</w:t>
      </w:r>
      <w:r>
        <w:t xml:space="preserve"> </w:t>
      </w:r>
      <w:r>
        <w:t xml:space="preserve">sections 15–17 of the supplied AGPL and any applicable separate written</w:t>
      </w:r>
      <w:r>
        <w:t xml:space="preserve"> </w:t>
      </w:r>
      <w:r>
        <w:t xml:space="preserve">undertaking. This documentation creates no additional warranty or</w:t>
      </w:r>
      <w:r>
        <w:t xml:space="preserve"> </w:t>
      </w:r>
      <w:r>
        <w:t xml:space="preserve">limitation beyond those terms. Third-party software is subject to its</w:t>
      </w:r>
      <w:r>
        <w:t xml:space="preserve"> </w:t>
      </w:r>
      <w:r>
        <w:t xml:space="preserve">retained license notices. Nothing here removes rights that applicable</w:t>
      </w:r>
      <w:r>
        <w:t xml:space="preserve"> </w:t>
      </w:r>
      <w:r>
        <w:t xml:space="preserve">law makes nonwaivable.</w:t>
      </w:r>
    </w:p>
    <w:bookmarkEnd w:id="82"/>
    <w:bookmarkStart w:id="83" w:name="support-and-incident-reporting"/>
    <w:p>
      <w:pPr>
        <w:pStyle w:val="Heading3"/>
      </w:pPr>
      <w:r>
        <w:t xml:space="preserve">Support and incident</w:t>
      </w:r>
      <w:r>
        <w:t xml:space="preserve"> </w:t>
      </w:r>
      <w:r>
        <w:t xml:space="preserve">reporting</w:t>
      </w:r>
    </w:p>
    <w:p>
      <w:pPr>
        <w:pStyle w:val="FirstParagraph"/>
      </w:pPr>
      <w:r>
        <w:t xml:space="preserve">Use the project’s existing SUPPORT and SECURITY guidance for its</w:t>
      </w:r>
      <w:r>
        <w:t xml:space="preserve"> </w:t>
      </w:r>
      <w:r>
        <w:t xml:space="preserve">matching repository. Report reproducible behavior with the version,</w:t>
      </w:r>
      <w:r>
        <w:t xml:space="preserve"> </w:t>
      </w:r>
      <w:r>
        <w:t xml:space="preserve">operation and redacted logs. Do not put credentials, resident records or</w:t>
      </w:r>
      <w:r>
        <w:t xml:space="preserve"> </w:t>
      </w:r>
      <w:r>
        <w:t xml:space="preserve">unredacted evidence in a public issue. Coordinate sensitive reports</w:t>
      </w:r>
      <w:r>
        <w:t xml:space="preserve"> </w:t>
      </w:r>
      <w:r>
        <w:t xml:space="preserve">through the channel designated in SECURITY. No new support address or</w:t>
      </w:r>
      <w:r>
        <w:t xml:space="preserve"> </w:t>
      </w:r>
      <w:r>
        <w:t xml:space="preserve">service commitment is invented here.</w:t>
      </w:r>
    </w:p>
    <w:bookmarkEnd w:id="83"/>
    <w:bookmarkStart w:id="84" w:name="X31f05bddf6aa9d1ff47b7e67ed4759e27e0b8e9"/>
    <w:p>
      <w:pPr>
        <w:pStyle w:val="Heading3"/>
      </w:pPr>
      <w:r>
        <w:t xml:space="preserve">Ending a beta</w:t>
      </w:r>
      <w:r>
        <w:t xml:space="preserve"> </w:t>
      </w:r>
      <w:r>
        <w:t xml:space="preserve">exercise and document changes</w:t>
      </w:r>
    </w:p>
    <w:p>
      <w:pPr>
        <w:pStyle w:val="FirstParagraph"/>
      </w:pPr>
      <w:r>
        <w:t xml:space="preserve">When an organization ends testing, it controls retention/export and</w:t>
      </w:r>
      <w:r>
        <w:t xml:space="preserve"> </w:t>
      </w:r>
      <w:r>
        <w:t xml:space="preserve">removes access according to its policy. Uninstall may retain data; back</w:t>
      </w:r>
      <w:r>
        <w:t xml:space="preserve"> </w:t>
      </w:r>
      <w:r>
        <w:t xml:space="preserve">up and inspect the selected removal options. Ending an exercise does not</w:t>
      </w:r>
      <w:r>
        <w:t xml:space="preserve"> </w:t>
      </w:r>
      <w:r>
        <w:t xml:space="preserve">revoke rights already granted by AGPL. Later software/documentation</w:t>
      </w:r>
      <w:r>
        <w:t xml:space="preserve"> </w:t>
      </w:r>
      <w:r>
        <w:t xml:space="preserve">versions must identify their changed candidate and scope; historical</w:t>
      </w:r>
      <w:r>
        <w:t xml:space="preserve"> </w:t>
      </w:r>
      <w:r>
        <w:t xml:space="preserve">receipts retain their original identities. These terms do not claim that</w:t>
      </w:r>
      <w:r>
        <w:t xml:space="preserve"> </w:t>
      </w:r>
      <w:r>
        <w:t xml:space="preserve">a city has accepted a contract merely by reading a manual.</w:t>
      </w:r>
    </w:p>
    <w:bookmarkEnd w:id="84"/>
    <w:bookmarkEnd w:id="85"/>
    <w:bookmarkStart w:id="86" w:name="glossary"/>
    <w:p>
      <w:pPr>
        <w:pStyle w:val="Heading2"/>
      </w:pPr>
      <w: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An explicit authorized decision on the saved text/artifact. It is</w:t>
            </w:r>
            <w:r>
              <w:t xml:space="preserve"> </w:t>
            </w:r>
            <w:r>
              <w:t xml:space="preserve">separate from saving or attachment.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record</w:t>
            </w:r>
          </w:p>
        </w:tc>
        <w:tc>
          <w:tcPr/>
          <w:p>
            <w:pPr>
              <w:pStyle w:val="Compact"/>
            </w:pPr>
            <w:r>
              <w:t xml:space="preserve">The owning product’s retained identity and saved version, rather</w:t>
            </w:r>
            <w:r>
              <w:t xml:space="preserve"> </w:t>
            </w:r>
            <w:r>
              <w:t xml:space="preserve">than an editable copied label.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Composition</w:t>
            </w:r>
          </w:p>
        </w:tc>
        <w:tc>
          <w:tcPr/>
          <w:p>
            <w:pPr>
              <w:pStyle w:val="Compact"/>
            </w:pPr>
            <w:r>
              <w:t xml:space="preserve">The selected set of desktop modules; inspections-preview exposes the</w:t>
            </w:r>
            <w:r>
              <w:t xml:space="preserve"> </w:t>
            </w:r>
            <w:r>
              <w:t xml:space="preserve">eight staff products.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Corresponding source</w:t>
            </w:r>
          </w:p>
        </w:tc>
        <w:tc>
          <w:tcPr/>
          <w:p>
            <w:pPr>
              <w:pStyle w:val="Compact"/>
            </w:pPr>
            <w:r>
              <w:t xml:space="preserve">The source/build material matching the delivered covered program,</w:t>
            </w:r>
            <w:r>
              <w:t xml:space="preserve"> </w:t>
            </w:r>
            <w:r>
              <w:t xml:space="preserve">subject to its license.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Derivative / Records copy</w:t>
            </w:r>
          </w:p>
        </w:tc>
        <w:tc>
          <w:tcPr/>
          <w:p>
            <w:pPr>
              <w:pStyle w:val="Compact"/>
            </w:pPr>
            <w:r>
              <w:t xml:space="preserve">A separately prepared document with its own intended audience and</w:t>
            </w:r>
            <w:r>
              <w:t xml:space="preserve"> </w:t>
            </w:r>
            <w:r>
              <w:t xml:space="preserve">hash.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 / SHA256</w:t>
            </w:r>
          </w:p>
        </w:tc>
        <w:tc>
          <w:tcPr/>
          <w:p>
            <w:pPr>
              <w:pStyle w:val="Compact"/>
            </w:pPr>
            <w:r>
              <w:t xml:space="preserve">A fingerprint of exact bytes. It detects change; it does not</w:t>
            </w:r>
            <w:r>
              <w:t xml:space="preserve"> </w:t>
            </w:r>
            <w:r>
              <w:t xml:space="preserve">establish legal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Idempotency</w:t>
            </w:r>
          </w:p>
        </w:tc>
        <w:tc>
          <w:tcPr/>
          <w:p>
            <w:pPr>
              <w:pStyle w:val="Compact"/>
            </w:pPr>
            <w:r>
              <w:t xml:space="preserve">Repeating the same identified request has the same intended effect;</w:t>
            </w:r>
            <w:r>
              <w:t xml:space="preserve"> </w:t>
            </w:r>
            <w:r>
              <w:t xml:space="preserve">changing its payload can be refused.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IPC</w:t>
            </w:r>
          </w:p>
        </w:tc>
        <w:tc>
          <w:tcPr/>
          <w:p>
            <w:pPr>
              <w:pStyle w:val="Compact"/>
            </w:pPr>
            <w:r>
              <w:t xml:space="preserve">The native desktop command boundary between its browser interface</w:t>
            </w:r>
            <w:r>
              <w:t xml:space="preserve"> </w:t>
            </w:r>
            <w:r>
              <w:t xml:space="preserve">and Rust host.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MCP</w:t>
            </w:r>
          </w:p>
        </w:tc>
        <w:tc>
          <w:tcPr/>
          <w:p>
            <w:pPr>
              <w:pStyle w:val="Compact"/>
            </w:pPr>
            <w:r>
              <w:t xml:space="preserve">Model Context Protocol; no direct Townlight product server is</w:t>
            </w:r>
            <w:r>
              <w:t xml:space="preserve"> </w:t>
            </w:r>
            <w:r>
              <w:t xml:space="preserve">enabled by this beta.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Original</w:t>
            </w:r>
          </w:p>
        </w:tc>
        <w:tc>
          <w:tcPr/>
          <w:p>
            <w:pPr>
              <w:pStyle w:val="Compact"/>
            </w:pPr>
            <w:r>
              <w:t xml:space="preserve">Retained source bytes. A reviewed derivative does not replace</w:t>
            </w:r>
            <w:r>
              <w:t xml:space="preserve"> </w:t>
            </w:r>
            <w:r>
              <w:t xml:space="preserve">them.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Source, version, date, actor and relationship information retained</w:t>
            </w:r>
            <w:r>
              <w:t xml:space="preserve"> </w:t>
            </w:r>
            <w:r>
              <w:t xml:space="preserve">with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Revision</w:t>
            </w:r>
          </w:p>
        </w:tc>
        <w:tc>
          <w:tcPr/>
          <w:p>
            <w:pPr>
              <w:pStyle w:val="Compact"/>
            </w:pPr>
            <w:r>
              <w:t xml:space="preserve">An immutable saved version. Later edits do not inherit an earlier</w:t>
            </w:r>
            <w:r>
              <w:t xml:space="preserve"> </w:t>
            </w:r>
            <w:r>
              <w:t xml:space="preserve">review automatically.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Snapshot</w:t>
            </w:r>
          </w:p>
        </w:tc>
        <w:tc>
          <w:tcPr/>
          <w:p>
            <w:pPr>
              <w:pStyle w:val="Compact"/>
            </w:pPr>
            <w:r>
              <w:t xml:space="preserve">A fixed audience-specific copy tied to a source/reviewed</w:t>
            </w:r>
            <w:r>
              <w:t xml:space="preserve"> </w:t>
            </w:r>
            <w:r>
              <w:t xml:space="preserve">revision.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Townlight’s separate media boundary using a pinned CivicCast-derived</w:t>
            </w:r>
            <w:r>
              <w:t xml:space="preserve"> </w:t>
            </w:r>
            <w:r>
              <w:t xml:space="preserve">engine; standalone CivicCast remains separate.</w:t>
            </w:r>
          </w:p>
        </w:tc>
      </w:tr>
    </w:tbl>
    <w:bookmarkEnd w:id="86"/>
    <w:bookmarkStart w:id="88" w:name="alphabetical-subject-index"/>
    <w:p>
      <w:pPr>
        <w:pStyle w:val="Heading2"/>
      </w:pPr>
      <w:r>
        <w:t xml:space="preserve">Alphabetical subject index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Accounts and authentication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AGPL and source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API contracts</w:t>
      </w:r>
      <w:r>
        <w:t xml:space="preserve"> </w:t>
      </w:r>
      <w:r>
        <w:t xml:space="preserve">—</w:t>
      </w:r>
      <w:r>
        <w:t xml:space="preserve"> </w:t>
      </w: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Architecture</w:t>
      </w:r>
      <w:r>
        <w:t xml:space="preserve"> </w:t>
      </w:r>
      <w:r>
        <w:t xml:space="preserve">—</w:t>
      </w:r>
      <w:r>
        <w:t xml:space="preserve"> </w:t>
      </w:r>
      <w:hyperlink w:anchor="architecture">
        <w:r>
          <w:rPr>
            <w:rStyle w:val="Hyperlink"/>
          </w:rPr>
          <w:t xml:space="preserve">Architecture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Backup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Beta version</w:t>
      </w:r>
      <w:r>
        <w:t xml:space="preserve"> </w:t>
      </w:r>
      <w:r>
        <w:t xml:space="preserve">—</w:t>
      </w:r>
      <w:r>
        <w:t xml:space="preserve"> </w:t>
      </w: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Evidence and acceptance</w:t>
      </w:r>
      <w:r>
        <w:t xml:space="preserve"> </w:t>
      </w:r>
      <w:r>
        <w:t xml:space="preserve">—</w:t>
      </w:r>
      <w:r>
        <w:t xml:space="preserve"> </w:t>
      </w: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Fees and official decisions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First run</w:t>
      </w:r>
      <w:r>
        <w:t xml:space="preserve"> </w:t>
      </w:r>
      <w:r>
        <w:t xml:space="preserve">—</w:t>
      </w:r>
      <w:r>
        <w:t xml:space="preserve"> </w:t>
      </w:r>
      <w:hyperlink w:anchor="first-run">
        <w:r>
          <w:rPr>
            <w:rStyle w:val="Hyperlink"/>
          </w:rPr>
          <w:t xml:space="preserve">First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run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Handoffs and audience</w:t>
      </w:r>
      <w:r>
        <w:t xml:space="preserve"> </w:t>
      </w:r>
      <w:r>
        <w:t xml:space="preserve">—</w:t>
      </w:r>
      <w:r>
        <w:t xml:space="preserve"> </w:t>
      </w:r>
      <w:hyperlink w:anchor="connected-workflows">
        <w:r>
          <w:rPr>
            <w:rStyle w:val="Hyperlink"/>
          </w:rPr>
          <w:t xml:space="preserve">Connected workflows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MCP</w:t>
      </w:r>
      <w:r>
        <w:t xml:space="preserve"> </w:t>
      </w:r>
      <w:r>
        <w:t xml:space="preserve">—</w:t>
      </w:r>
      <w:r>
        <w:t xml:space="preserve"> </w:t>
      </w:r>
      <w:hyperlink w:anchor="mcp-and-automation-boundary">
        <w:r>
          <w:rPr>
            <w:rStyle w:val="Hyperlink"/>
          </w:rPr>
          <w:t xml:space="preserve">MCP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automation boundary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Originals and provenance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Recovery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Staff procedures</w:t>
      </w:r>
      <w:r>
        <w:t xml:space="preserve"> </w:t>
      </w:r>
      <w:r>
        <w:t xml:space="preserve">—</w:t>
      </w:r>
      <w:r>
        <w:t xml:space="preserve"> </w:t>
      </w: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Station 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Technical stack</w:t>
      </w:r>
      <w:r>
        <w:t xml:space="preserve"> </w:t>
      </w:r>
      <w:r>
        <w:t xml:space="preserve">—</w:t>
      </w:r>
      <w:r>
        <w:t xml:space="preserve"> </w:t>
      </w:r>
      <w:hyperlink w:anchor="technical-specifications">
        <w:r>
          <w:rPr>
            <w:rStyle w:val="Hyperlink"/>
          </w:rPr>
          <w:t xml:space="preserve">Technical specifications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Troubleshooting</w:t>
      </w:r>
      <w:r>
        <w:t xml:space="preserve"> </w:t>
      </w:r>
      <w:r>
        <w:t xml:space="preserve">—</w:t>
      </w:r>
      <w:r>
        <w:t xml:space="preserve"> </w:t>
      </w:r>
      <w:hyperlink w:anchor="troubleshooting">
        <w:r>
          <w:rPr>
            <w:rStyle w:val="Hyperlink"/>
          </w:rPr>
          <w:t xml:space="preserve">Troubleshooting</w:t>
        </w:r>
      </w:hyperlink>
      <w:r>
        <w:t xml:space="preserve">.</w:t>
      </w:r>
    </w:p>
    <w:bookmarkStart w:id="87" w:name="operating-subject-links"/>
    <w:p>
      <w:pPr>
        <w:pStyle w:val="Heading3"/>
      </w:pPr>
      <w:r>
        <w:t xml:space="preserve">Operating subject links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Exploration initiatives and amendments</w:t>
      </w:r>
      <w:r>
        <w:t xml:space="preserve"> </w:t>
      </w:r>
      <w:r>
        <w:t xml:space="preserve">—</w:t>
      </w:r>
      <w:r>
        <w:t xml:space="preserve"> </w:t>
      </w:r>
      <w:hyperlink w:anchor="exploration-initiatives-and-amendments">
        <w:r>
          <w:rPr>
            <w:rStyle w:val="Hyperlink"/>
          </w:rPr>
          <w:t xml:space="preserve">Exploration initiatives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amendments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Explore adopted plans</w:t>
      </w:r>
      <w:r>
        <w:t xml:space="preserve"> </w:t>
      </w:r>
      <w:r>
        <w:t xml:space="preserve">—</w:t>
      </w:r>
      <w:r>
        <w:t xml:space="preserve"> </w:t>
      </w:r>
      <w:hyperlink w:anchor="explore-adopted-plans">
        <w:r>
          <w:rPr>
            <w:rStyle w:val="Hyperlink"/>
          </w:rPr>
          <w:t xml:space="preserve">Explore adopted plans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Retain an amendment lifecycle</w:t>
      </w:r>
      <w:r>
        <w:t xml:space="preserve"> </w:t>
      </w:r>
      <w:r>
        <w:t xml:space="preserve">—</w:t>
      </w:r>
      <w:r>
        <w:t xml:space="preserve"> </w:t>
      </w:r>
      <w:hyperlink w:anchor="retain-an-amendment-lifecycle">
        <w:r>
          <w:rPr>
            <w:rStyle w:val="Hyperlink"/>
          </w:rPr>
          <w:t xml:space="preserve">Retain an amendment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lifecycle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Track a municipal initiative</w:t>
      </w:r>
      <w:r>
        <w:t xml:space="preserve"> </w:t>
      </w:r>
      <w:r>
        <w:t xml:space="preserve">—</w:t>
      </w:r>
      <w:r>
        <w:t xml:space="preserve"> </w:t>
      </w:r>
      <w:hyperlink w:anchor="track-a-municipal-initiative">
        <w:r>
          <w:rPr>
            <w:rStyle w:val="Hyperlink"/>
          </w:rPr>
          <w:t xml:space="preserve">Track a municipal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initiative</w:t>
        </w:r>
      </w:hyperlink>
      <w:r>
        <w:t xml:space="preserve">.</w:t>
      </w:r>
    </w:p>
    <w:bookmarkEnd w:id="87"/>
    <w:bookmarkEnd w:id="88"/>
    <w:bookmarkStart w:id="94" w:name="source-and-document-control"/>
    <w:p>
      <w:pPr>
        <w:pStyle w:val="Heading2"/>
      </w:pPr>
      <w:r>
        <w:t xml:space="preserve">Source and document control</w:t>
      </w:r>
    </w:p>
    <w:p>
      <w:pPr>
        <w:pStyle w:val="FirstParagraph"/>
      </w:pPr>
      <w:r>
        <w:t xml:space="preserve">This edition is authored from the immutable corresponding-source</w:t>
      </w:r>
      <w:r>
        <w:t xml:space="preserve"> </w:t>
      </w:r>
      <w:r>
        <w:t xml:space="preserve">companion, the generated installed-domain schema and the retained</w:t>
      </w:r>
      <w:r>
        <w:t xml:space="preserve"> </w:t>
      </w:r>
      <w:r>
        <w:t xml:space="preserve">workflow receipts. The current software versions and signed artifacts</w:t>
      </w:r>
      <w:r>
        <w:t xml:space="preserve"> </w:t>
      </w:r>
      <w:r>
        <w:t xml:space="preserve">are unchanged. Public historical pages are not synchronized or published</w:t>
      </w:r>
      <w:r>
        <w:t xml:space="preserve"> </w:t>
      </w:r>
      <w:r>
        <w:t xml:space="preserve">by this local documentation task.</w:t>
      </w:r>
    </w:p>
    <w:bookmarkStart w:id="93" w:name="workflow-subject-index"/>
    <w:p>
      <w:pPr>
        <w:pStyle w:val="Heading3"/>
      </w:pPr>
      <w:r>
        <w:t xml:space="preserve">Workflow subject index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Create and export a snapshot</w:t>
      </w:r>
      <w:r>
        <w:t xml:space="preserve"> </w:t>
      </w:r>
      <w:r>
        <w:t xml:space="preserve">—</w:t>
      </w:r>
      <w:r>
        <w:t xml:space="preserve"> </w:t>
      </w:r>
      <w:hyperlink w:anchor="workflow-6">
        <w:r>
          <w:rPr>
            <w:rStyle w:val="Hyperlink"/>
          </w:rPr>
          <w:t xml:space="preserve">Daily workflow, step 6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Create or reopen an analysis</w:t>
      </w:r>
      <w:r>
        <w:t xml:space="preserve"> </w:t>
      </w:r>
      <w:r>
        <w:t xml:space="preserve">—</w:t>
      </w:r>
      <w:r>
        <w:t xml:space="preserve"> </w:t>
      </w:r>
      <w:hyperlink w:anchor="workflow-2">
        <w:r>
          <w:rPr>
            <w:rStyle w:val="Hyperlink"/>
          </w:rPr>
          <w:t xml:space="preserve">Daily workflow, step 2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Import adopted policy</w:t>
      </w:r>
      <w:r>
        <w:t xml:space="preserve"> </w:t>
      </w:r>
      <w:r>
        <w:t xml:space="preserve">—</w:t>
      </w:r>
      <w:r>
        <w:t xml:space="preserve"> </w:t>
      </w:r>
      <w:hyperlink w:anchor="workflow-1">
        <w:r>
          <w:rPr>
            <w:rStyle w:val="Hyperlink"/>
          </w:rPr>
          <w:t xml:space="preserve">Daily workflow, step 1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Review the saved revision</w:t>
      </w:r>
      <w:r>
        <w:t xml:space="preserve"> </w:t>
      </w:r>
      <w:r>
        <w:t xml:space="preserve">—</w:t>
      </w:r>
      <w:r>
        <w:t xml:space="preserve"> </w:t>
      </w:r>
      <w:hyperlink w:anchor="workflow-5">
        <w:r>
          <w:rPr>
            <w:rStyle w:val="Hyperlink"/>
          </w:rPr>
          <w:t xml:space="preserve">Daily workflow, step 5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Save and reconcile</w:t>
      </w:r>
      <w:r>
        <w:t xml:space="preserve"> </w:t>
      </w:r>
      <w:r>
        <w:t xml:space="preserve">—</w:t>
      </w:r>
      <w:r>
        <w:t xml:space="preserve"> </w:t>
      </w:r>
      <w:hyperlink w:anchor="workflow-4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4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Select policies and evidence</w:t>
      </w:r>
      <w:r>
        <w:t xml:space="preserve"> </w:t>
      </w:r>
      <w:r>
        <w:t xml:space="preserve">—</w:t>
      </w:r>
      <w:r>
        <w:t xml:space="preserve"> </w:t>
      </w:r>
      <w:hyperlink w:anchor="workflow-3">
        <w:r>
          <w:rPr>
            <w:rStyle w:val="Hyperlink"/>
          </w:rPr>
          <w:t xml:space="preserve">Daily workflow, step 3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Share deliberately</w:t>
      </w:r>
      <w:r>
        <w:t xml:space="preserve"> </w:t>
      </w:r>
      <w:r>
        <w:t xml:space="preserve">—</w:t>
      </w:r>
      <w:r>
        <w:t xml:space="preserve"> </w:t>
      </w:r>
      <w:hyperlink w:anchor="workflow-8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8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Track initiatives and amendments</w:t>
      </w:r>
      <w:r>
        <w:t xml:space="preserve"> </w:t>
      </w:r>
      <w:r>
        <w:t xml:space="preserve">—</w:t>
      </w:r>
      <w:r>
        <w:t xml:space="preserve"> </w:t>
      </w:r>
      <w:hyperlink w:anchor="workflow-7">
        <w:r>
          <w:rPr>
            <w:rStyle w:val="Hyperlink"/>
          </w:rPr>
          <w:t xml:space="preserve">Daily workflow, step 7</w:t>
        </w:r>
      </w:hyperlink>
      <w:r>
        <w:t xml:space="preserve">.</w:t>
      </w:r>
    </w:p>
    <w:p>
      <w:pPr>
        <w:numPr>
          <w:ilvl w:val="0"/>
          <w:numId w:val="1007"/>
        </w:numPr>
      </w:pPr>
      <w:hyperlink r:id="rId89">
        <w:r>
          <w:rPr>
            <w:rStyle w:val="Hyperlink"/>
          </w:rPr>
          <w:t xml:space="preserve">Source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inventory and file hashes</w:t>
        </w:r>
      </w:hyperlink>
    </w:p>
    <w:p>
      <w:pPr>
        <w:numPr>
          <w:ilvl w:val="0"/>
          <w:numId w:val="1007"/>
        </w:numPr>
      </w:pPr>
      <w:hyperlink r:id="rId48">
        <w:r>
          <w:rPr>
            <w:rStyle w:val="Hyperlink"/>
          </w:rPr>
          <w:t xml:space="preserve">All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component metadata</w:t>
        </w:r>
      </w:hyperlink>
    </w:p>
    <w:p>
      <w:pPr>
        <w:numPr>
          <w:ilvl w:val="0"/>
          <w:numId w:val="1007"/>
        </w:numPr>
      </w:pPr>
      <w:hyperlink r:id="rId90">
        <w:r>
          <w:rPr>
            <w:rStyle w:val="Hyperlink"/>
          </w:rPr>
          <w:t xml:space="preserve">Installed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domain OpenAPI</w:t>
        </w:r>
      </w:hyperlink>
    </w:p>
    <w:p>
      <w:pPr>
        <w:numPr>
          <w:ilvl w:val="0"/>
          <w:numId w:val="1007"/>
        </w:numPr>
      </w:pPr>
      <w:hyperlink r:id="rId91">
        <w:r>
          <w:rPr>
            <w:rStyle w:val="Hyperlink"/>
          </w:rPr>
          <w:t xml:space="preserve">Workflow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matrix</w:t>
        </w:r>
      </w:hyperlink>
    </w:p>
    <w:p>
      <w:pPr>
        <w:numPr>
          <w:ilvl w:val="0"/>
          <w:numId w:val="1007"/>
        </w:numPr>
      </w:pPr>
      <w:hyperlink r:id="rId92">
        <w:r>
          <w:rPr>
            <w:rStyle w:val="Hyperlink"/>
          </w:rPr>
          <w:t xml:space="preserve">Full AGPL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text</w:t>
        </w:r>
      </w:hyperlink>
    </w:p>
    <w:bookmarkEnd w:id="93"/>
    <w:bookmarkEnd w:id="94"/>
    <w:bookmarkEnd w:id="9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2" Target="https://townlight.github.io/api/planning-openapi.json" TargetMode="External" /><Relationship Type="http://schemas.openxmlformats.org/officeDocument/2006/relationships/hyperlink" Id="rId61" Target="https://townlight.github.io/api/planning.html" TargetMode="External" /><Relationship Type="http://schemas.openxmlformats.org/officeDocument/2006/relationships/hyperlink" Id="rId92" Target="https://townlight.github.io/reference/AGPL-3.0.txt" TargetMode="External" /><Relationship Type="http://schemas.openxmlformats.org/officeDocument/2006/relationships/hyperlink" Id="rId48" Target="https://townlight.github.io/reference/component-metadata.json" TargetMode="External" /><Relationship Type="http://schemas.openxmlformats.org/officeDocument/2006/relationships/hyperlink" Id="rId90" Target="https://townlight.github.io/reference/desktop-domain-openapi.json" TargetMode="External" /><Relationship Type="http://schemas.openxmlformats.org/officeDocument/2006/relationships/hyperlink" Id="rId57" Target="https://townlight.github.io/reference/examples/synthetic-plan-bundle.json" TargetMode="External" /><Relationship Type="http://schemas.openxmlformats.org/officeDocument/2006/relationships/hyperlink" Id="rId63" Target="https://townlight.github.io/reference/index.html" TargetMode="External" /><Relationship Type="http://schemas.openxmlformats.org/officeDocument/2006/relationships/hyperlink" Id="rId67" Target="https://townlight.github.io/reference/mcp.html" TargetMode="External" /><Relationship Type="http://schemas.openxmlformats.org/officeDocument/2006/relationships/hyperlink" Id="rId47" Target="https://townlight.github.io/reference/runtime-payload-lock.json" TargetMode="External" /><Relationship Type="http://schemas.openxmlformats.org/officeDocument/2006/relationships/hyperlink" Id="rId72" Target="https://townlight.github.io/reference/sandbox-evidence-index.json" TargetMode="External" /><Relationship Type="http://schemas.openxmlformats.org/officeDocument/2006/relationships/hyperlink" Id="rId89" Target="https://townlight.github.io/reference/source-inventory.json" TargetMode="External" /><Relationship Type="http://schemas.openxmlformats.org/officeDocument/2006/relationships/hyperlink" Id="rId91" Target="https://townlight.github.io/reference/workflow-matrix.json" TargetMode="External" /><Relationship Type="http://schemas.openxmlformats.org/officeDocument/2006/relationships/hyperlink" Id="rId75" Target="https://www.gnu.org/licenses/agpl-3.0.html" TargetMode="External" /><Relationship Type="http://schemas.openxmlformats.org/officeDocument/2006/relationships/hyperlink" Id="rId76" Target="https://www.gnu.org/licenses/gpl-faq.e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2" Target="https://townlight.github.io/api/planning-openapi.json" TargetMode="External" /><Relationship Type="http://schemas.openxmlformats.org/officeDocument/2006/relationships/hyperlink" Id="rId61" Target="https://townlight.github.io/api/planning.html" TargetMode="External" /><Relationship Type="http://schemas.openxmlformats.org/officeDocument/2006/relationships/hyperlink" Id="rId92" Target="https://townlight.github.io/reference/AGPL-3.0.txt" TargetMode="External" /><Relationship Type="http://schemas.openxmlformats.org/officeDocument/2006/relationships/hyperlink" Id="rId48" Target="https://townlight.github.io/reference/component-metadata.json" TargetMode="External" /><Relationship Type="http://schemas.openxmlformats.org/officeDocument/2006/relationships/hyperlink" Id="rId90" Target="https://townlight.github.io/reference/desktop-domain-openapi.json" TargetMode="External" /><Relationship Type="http://schemas.openxmlformats.org/officeDocument/2006/relationships/hyperlink" Id="rId57" Target="https://townlight.github.io/reference/examples/synthetic-plan-bundle.json" TargetMode="External" /><Relationship Type="http://schemas.openxmlformats.org/officeDocument/2006/relationships/hyperlink" Id="rId63" Target="https://townlight.github.io/reference/index.html" TargetMode="External" /><Relationship Type="http://schemas.openxmlformats.org/officeDocument/2006/relationships/hyperlink" Id="rId67" Target="https://townlight.github.io/reference/mcp.html" TargetMode="External" /><Relationship Type="http://schemas.openxmlformats.org/officeDocument/2006/relationships/hyperlink" Id="rId47" Target="https://townlight.github.io/reference/runtime-payload-lock.json" TargetMode="External" /><Relationship Type="http://schemas.openxmlformats.org/officeDocument/2006/relationships/hyperlink" Id="rId72" Target="https://townlight.github.io/reference/sandbox-evidence-index.json" TargetMode="External" /><Relationship Type="http://schemas.openxmlformats.org/officeDocument/2006/relationships/hyperlink" Id="rId89" Target="https://townlight.github.io/reference/source-inventory.json" TargetMode="External" /><Relationship Type="http://schemas.openxmlformats.org/officeDocument/2006/relationships/hyperlink" Id="rId91" Target="https://townlight.github.io/reference/workflow-matrix.json" TargetMode="External" /><Relationship Type="http://schemas.openxmlformats.org/officeDocument/2006/relationships/hyperlink" Id="rId75" Target="https://www.gnu.org/licenses/agpl-3.0.html" TargetMode="External" /><Relationship Type="http://schemas.openxmlformats.org/officeDocument/2006/relationships/hyperlink" Id="rId76" Target="https://www.gnu.org/licenses/gpl-faq.e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Townlight Planning Manual</dc:title>
  <dc:creator/>
  <cp:keywords/>
  <dcterms:created xsi:type="dcterms:W3CDTF">2026-11-04T06:03:18Z</dcterms:created>
  <dcterms:modified xsi:type="dcterms:W3CDTF">2026-11-04T06:03:18Z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