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Townlight Permitting Manual</w:t>
      </w:r>
    </w:p>
    <w:p>
      <w:pPr>
        <w:pStyle w:val="FirstParagraph"/>
      </w:pPr>
      <w:r>
        <w:t xml:space="preserve">Windows x64 Beta 1 · MSI 1.7.0.1</w:t>
      </w:r>
    </w:p>
    <w:p>
      <w:pPr>
        <w:pStyle w:val="Body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</w:t>
      </w:r>
    </w:p>
    <w:p>
      <w:pPr>
        <w:pStyle w:val="Compact"/>
        <w:numPr>
          <w:ilvl w:val="0"/>
          <w:numId w:val="1001"/>
        </w:numPr>
      </w:pPr>
      <w:hyperlink w:anchor="townlight-permitting-manual">
        <w:r>
          <w:rPr>
            <w:rStyle w:val="Hyperlink"/>
          </w:rPr>
          <w:t xml:space="preserve">Townlight Permitting Manual</w:t>
        </w:r>
      </w:hyperlink>
    </w:p>
    <w:p>
      <w:pPr>
        <w:pStyle w:val="Compact"/>
        <w:numPr>
          <w:ilvl w:val="1"/>
          <w:numId w:val="1002"/>
        </w:numPr>
      </w:pPr>
      <w:hyperlink w:anchor="contents">
        <w:r>
          <w:rPr>
            <w:rStyle w:val="Hyperlink"/>
          </w:rPr>
          <w:t xml:space="preserve">Contents</w:t>
        </w:r>
      </w:hyperlink>
    </w:p>
    <w:p>
      <w:pPr>
        <w:pStyle w:val="Compact"/>
        <w:numPr>
          <w:ilvl w:val="1"/>
          <w:numId w:val="1002"/>
        </w:numPr>
      </w:pPr>
      <w:hyperlink w:anchor="using-this-manual">
        <w:r>
          <w:rPr>
            <w:rStyle w:val="Hyperlink"/>
          </w:rPr>
          <w:t xml:space="preserve">Using this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manual</w:t>
        </w:r>
      </w:hyperlink>
    </w:p>
    <w:p>
      <w:pPr>
        <w:pStyle w:val="Compact"/>
        <w:numPr>
          <w:ilvl w:val="1"/>
          <w:numId w:val="1002"/>
        </w:numPr>
      </w:pP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</w:p>
    <w:p>
      <w:pPr>
        <w:pStyle w:val="Compact"/>
        <w:numPr>
          <w:ilvl w:val="1"/>
          <w:numId w:val="1002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1"/>
          <w:numId w:val="1002"/>
        </w:numPr>
      </w:pP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</w:p>
    <w:p>
      <w:pPr>
        <w:pStyle w:val="Compact"/>
        <w:numPr>
          <w:ilvl w:val="1"/>
          <w:numId w:val="1002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1"/>
          <w:numId w:val="1002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1"/>
          <w:numId w:val="1002"/>
        </w:numPr>
      </w:pPr>
      <w:hyperlink w:anchor="X9136de5dddd8df2a0eb91eb17dfa2bb8e3e081a">
        <w:r>
          <w:rPr>
            <w:rStyle w:val="Hyperlink"/>
          </w:rPr>
          <w:t xml:space="preserve">Describe 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project and read source grounded guidance</w:t>
        </w:r>
      </w:hyperlink>
    </w:p>
    <w:p>
      <w:pPr>
        <w:pStyle w:val="Compact"/>
        <w:numPr>
          <w:ilvl w:val="1"/>
          <w:numId w:val="1002"/>
        </w:numPr>
      </w:pPr>
      <w:hyperlink w:anchor="technical-specifications">
        <w:r>
          <w:rPr>
            <w:rStyle w:val="Hyperlink"/>
          </w:rPr>
          <w:t xml:space="preserve">Technical specifications</w:t>
        </w:r>
      </w:hyperlink>
    </w:p>
    <w:p>
      <w:pPr>
        <w:pStyle w:val="Compact"/>
        <w:numPr>
          <w:ilvl w:val="1"/>
          <w:numId w:val="1002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1"/>
          <w:numId w:val="1002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1"/>
          <w:numId w:val="1002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1"/>
          <w:numId w:val="1002"/>
        </w:numPr>
      </w:pPr>
      <w:hyperlink w:anchor="security-and-permissions">
        <w:r>
          <w:rPr>
            <w:rStyle w:val="Hyperlink"/>
          </w:rPr>
          <w:t xml:space="preserve">Security and permissions</w:t>
        </w:r>
      </w:hyperlink>
    </w:p>
    <w:p>
      <w:pPr>
        <w:pStyle w:val="Compact"/>
        <w:numPr>
          <w:ilvl w:val="1"/>
          <w:numId w:val="1002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1"/>
          <w:numId w:val="1002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1"/>
          <w:numId w:val="1002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1"/>
          <w:numId w:val="1002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1"/>
          <w:numId w:val="1002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1"/>
          <w:numId w:val="1002"/>
        </w:numPr>
      </w:pPr>
      <w:hyperlink w:anchor="alphabetical-subject-index">
        <w:r>
          <w:rPr>
            <w:rStyle w:val="Hyperlink"/>
          </w:rPr>
          <w:t xml:space="preserve">Alphabetical subject index</w:t>
        </w:r>
      </w:hyperlink>
    </w:p>
    <w:p>
      <w:pPr>
        <w:pStyle w:val="Compact"/>
        <w:numPr>
          <w:ilvl w:val="1"/>
          <w:numId w:val="1002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Start w:id="91" w:name="townlight-permitting-manual"/>
    <w:p>
      <w:pPr>
        <w:pStyle w:val="Heading1"/>
      </w:pPr>
      <w:r>
        <w:t xml:space="preserve">Townlight Permitting Manual</w:t>
      </w:r>
    </w:p>
    <w:p>
      <w:pPr>
        <w:pStyle w:val="FirstParagraph"/>
      </w:pPr>
      <w:r>
        <w:rPr>
          <w:b/>
          <w:bCs/>
        </w:rPr>
        <w:t xml:space="preserve">Townlight Beta 1</w:t>
      </w:r>
      <w:r>
        <w:t xml:space="preserve"> </w:t>
      </w:r>
      <w:r>
        <w:t xml:space="preserve">· Naming candidate documentation</w:t>
      </w:r>
      <w:r>
        <w:t xml:space="preserve"> </w:t>
      </w:r>
      <w:r>
        <w:t xml:space="preserve">edition 2 November 2026</w:t>
      </w:r>
    </w:p>
    <w:bookmarkStart w:id="10" w:name="contents"/>
    <w:p>
      <w:pPr>
        <w:pStyle w:val="Heading2"/>
      </w:pPr>
      <w:r>
        <w:t xml:space="preserve">Contents</w:t>
      </w:r>
    </w:p>
    <w:p>
      <w:pPr>
        <w:pStyle w:val="Compact"/>
        <w:numPr>
          <w:ilvl w:val="0"/>
          <w:numId w:val="1003"/>
        </w:numPr>
      </w:pPr>
      <w:hyperlink w:anchor="using-this-manual">
        <w:r>
          <w:rPr>
            <w:rStyle w:val="Hyperlink"/>
          </w:rPr>
          <w:t xml:space="preserve">Using this manual</w:t>
        </w:r>
      </w:hyperlink>
    </w:p>
    <w:p>
      <w:pPr>
        <w:pStyle w:val="Compact"/>
        <w:numPr>
          <w:ilvl w:val="0"/>
          <w:numId w:val="1003"/>
        </w:numPr>
      </w:pPr>
      <w:hyperlink w:anchor="beta-identity">
        <w:r>
          <w:rPr>
            <w:rStyle w:val="Hyperlink"/>
          </w:rPr>
          <w:t xml:space="preserve">Beta identity</w:t>
        </w:r>
      </w:hyperlink>
    </w:p>
    <w:p>
      <w:pPr>
        <w:pStyle w:val="Compact"/>
        <w:numPr>
          <w:ilvl w:val="0"/>
          <w:numId w:val="1003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0"/>
          <w:numId w:val="1003"/>
        </w:numPr>
      </w:pPr>
      <w:hyperlink w:anchor="daily-workflow">
        <w:r>
          <w:rPr>
            <w:rStyle w:val="Hyperlink"/>
          </w:rPr>
          <w:t xml:space="preserve">Daily workflow</w:t>
        </w:r>
      </w:hyperlink>
    </w:p>
    <w:p>
      <w:pPr>
        <w:pStyle w:val="Compact"/>
        <w:numPr>
          <w:ilvl w:val="0"/>
          <w:numId w:val="1003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0"/>
          <w:numId w:val="1003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0"/>
          <w:numId w:val="1003"/>
        </w:numPr>
      </w:pPr>
      <w:hyperlink w:anchor="X9136de5dddd8df2a0eb91eb17dfa2bb8e3e081a">
        <w:r>
          <w:rPr>
            <w:rStyle w:val="Hyperlink"/>
          </w:rPr>
          <w:t xml:space="preserve">Describe 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project and read source grounded guidance</w:t>
        </w:r>
      </w:hyperlink>
    </w:p>
    <w:p>
      <w:pPr>
        <w:pStyle w:val="Compact"/>
        <w:numPr>
          <w:ilvl w:val="0"/>
          <w:numId w:val="1003"/>
        </w:numPr>
      </w:pPr>
      <w:hyperlink w:anchor="technical-specifications">
        <w:r>
          <w:rPr>
            <w:rStyle w:val="Hyperlink"/>
          </w:rPr>
          <w:t xml:space="preserve">Technical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specifications</w:t>
        </w:r>
      </w:hyperlink>
    </w:p>
    <w:p>
      <w:pPr>
        <w:pStyle w:val="Compact"/>
        <w:numPr>
          <w:ilvl w:val="0"/>
          <w:numId w:val="1003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0"/>
          <w:numId w:val="1003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0"/>
          <w:numId w:val="1003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0"/>
          <w:numId w:val="1003"/>
        </w:numPr>
      </w:pPr>
      <w:hyperlink w:anchor="security-and-permissions">
        <w:r>
          <w:rPr>
            <w:rStyle w:val="Hyperlink"/>
          </w:rPr>
          <w:t xml:space="preserve">Security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permissions</w:t>
        </w:r>
      </w:hyperlink>
    </w:p>
    <w:p>
      <w:pPr>
        <w:pStyle w:val="Compact"/>
        <w:numPr>
          <w:ilvl w:val="0"/>
          <w:numId w:val="1003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0"/>
          <w:numId w:val="1003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0"/>
          <w:numId w:val="1003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0"/>
          <w:numId w:val="1003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0"/>
          <w:numId w:val="1003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0"/>
          <w:numId w:val="1003"/>
        </w:numPr>
      </w:pPr>
      <w:hyperlink w:anchor="alphabetical-subject-index">
        <w:r>
          <w:rPr>
            <w:rStyle w:val="Hyperlink"/>
          </w:rPr>
          <w:t xml:space="preserve">Alphabetical subject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index</w:t>
        </w:r>
      </w:hyperlink>
    </w:p>
    <w:p>
      <w:pPr>
        <w:pStyle w:val="Compact"/>
        <w:numPr>
          <w:ilvl w:val="0"/>
          <w:numId w:val="1003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End w:id="10"/>
    <w:bookmarkStart w:id="11" w:name="using-this-manual"/>
    <w:p>
      <w:pPr>
        <w:pStyle w:val="Heading2"/>
      </w:pPr>
      <w:r>
        <w:t xml:space="preserve">Using this manual</w:t>
      </w:r>
    </w:p>
    <w:p>
      <w:pPr>
        <w:pStyle w:val="FirstParagraph"/>
      </w:pPr>
      <w:r>
        <w:t xml:space="preserve">Townlight Permitting helps permit intake staff and development-review</w:t>
      </w:r>
      <w:r>
        <w:t xml:space="preserve"> </w:t>
      </w:r>
      <w:r>
        <w:t xml:space="preserve">coordinators. Permitting supports pre-application and development-review</w:t>
      </w:r>
      <w:r>
        <w:t xml:space="preserve"> </w:t>
      </w:r>
      <w:r>
        <w:t xml:space="preserve">intake. It imports retained requirements, produces source-grounded</w:t>
      </w:r>
      <w:r>
        <w:t xml:space="preserve"> </w:t>
      </w:r>
      <w:r>
        <w:t xml:space="preserve">material/pathway guidance, saves reviewed cases and prepares a separate</w:t>
      </w:r>
      <w:r>
        <w:t xml:space="preserve"> </w:t>
      </w:r>
      <w:r>
        <w:t xml:space="preserve">Records copy.</w:t>
      </w:r>
    </w:p>
    <w:p>
      <w:pPr>
        <w:pStyle w:val="BodyText"/>
      </w:pPr>
      <w:r>
        <w:t xml:space="preserve">Staff should begin with First run and Daily workflow. Administrators</w:t>
      </w:r>
      <w:r>
        <w:t xml:space="preserve"> </w:t>
      </w:r>
      <w:r>
        <w:t xml:space="preserve">should also read Architecture, Technical specifications, Configuration,</w:t>
      </w:r>
      <w:r>
        <w:t xml:space="preserve"> </w:t>
      </w:r>
      <w:r>
        <w:t xml:space="preserve">Security and Recovery. Developers should use the exact API/data</w:t>
      </w:r>
      <w:r>
        <w:t xml:space="preserve"> </w:t>
      </w:r>
      <w:r>
        <w:t xml:space="preserve">dictionary and examples. The table of contents and alphabetical subject</w:t>
      </w:r>
      <w:r>
        <w:t xml:space="preserve"> </w:t>
      </w:r>
      <w:r>
        <w:t xml:space="preserve">index link to the relevant sections in the HTML edition; the PDF</w:t>
      </w:r>
      <w:r>
        <w:t xml:space="preserve"> </w:t>
      </w:r>
      <w:r>
        <w:t xml:space="preserve">preserves headings and searchable text. An editable Word edition is</w:t>
      </w:r>
      <w:r>
        <w:t xml:space="preserve"> </w:t>
      </w:r>
      <w:r>
        <w:t xml:space="preserve">included with the same documentation companion.</w:t>
      </w:r>
    </w:p>
    <w:bookmarkEnd w:id="11"/>
    <w:bookmarkStart w:id="14" w:name="beta-identity"/>
    <w:p>
      <w:pPr>
        <w:pStyle w:val="Heading2"/>
      </w:pPr>
      <w:r>
        <w:t xml:space="preserve">Beta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Townlight Beta 1 naming, Access and Notice candidate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Intended installer version</w:t>
            </w:r>
          </w:p>
        </w:tc>
        <w:tc>
          <w:tcPr/>
          <w:p>
            <w:pPr>
              <w:pStyle w:val="Compact"/>
            </w:pPr>
            <w:r>
              <w:t xml:space="preserve">1.7.0.1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component</w:t>
            </w:r>
          </w:p>
        </w:tc>
        <w:tc>
          <w:tcPr/>
          <w:p>
            <w:pPr>
              <w:pStyle w:val="Compact"/>
            </w:pPr>
            <w:r>
              <w:t xml:space="preserve">townlight-permitting 0.3.0+dev.2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Principal import package</w:t>
            </w:r>
          </w:p>
        </w:tc>
        <w:tc>
          <w:tcPr/>
          <w:p>
            <w:pPr>
              <w:pStyle w:val="Compact"/>
            </w:pPr>
            <w:r>
              <w:t xml:space="preserve">townlight_permitting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Native desktop source version</w:t>
            </w:r>
          </w:p>
        </w:tc>
        <w:tc>
          <w:tcPr/>
          <w:p>
            <w:pPr>
              <w:pStyle w:val="Compact"/>
            </w:pPr>
            <w:r>
              <w:t xml:space="preserve">1.7.0-1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Candidate hashes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SHA-256 checksums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Windows acceptance summary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Current owned software license</w:t>
            </w:r>
          </w:p>
        </w:tc>
        <w:tc>
          <w:tcPr/>
          <w:p>
            <w:pPr>
              <w:pStyle w:val="Compact"/>
            </w:pPr>
            <w:r>
              <w:t xml:space="preserve">AGPL-3.0-only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Acceptance composition</w:t>
            </w:r>
          </w:p>
        </w:tc>
        <w:tc>
          <w:tcPr/>
          <w:p>
            <w:pPr>
              <w:pStyle w:val="Compact"/>
            </w:pPr>
            <w:r>
              <w:t xml:space="preserve">Fresh Windows x64 profile; inspections-preview; Station configured</w:t>
            </w:r>
            <w:r>
              <w:t xml:space="preserve"> </w:t>
            </w:r>
            <w:r>
              <w:t xml:space="preserve">separately</w:t>
            </w:r>
          </w:p>
        </w:tc>
      </w:tr>
    </w:tbl>
    <w:p>
      <w:pPr>
        <w:pStyle w:val="BodyText"/>
      </w:pPr>
      <w:r>
        <w:t xml:space="preserve">Use an empty database and fresh Windows profile. The installer refuses legacy profile initialization. The approved profile path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. Keep existing profiles and backups.</w:t>
      </w:r>
    </w:p>
    <w:bookmarkEnd w:id="14"/>
    <w:bookmarkStart w:id="15" w:name="first-run"/>
    <w:p>
      <w:pPr>
        <w:pStyle w:val="Heading2"/>
      </w:pPr>
      <w:r>
        <w:t xml:space="preserve">First run</w:t>
      </w:r>
    </w:p>
    <w:p>
      <w:pPr>
        <w:pStyle w:val="Compact"/>
        <w:numPr>
          <w:ilvl w:val="0"/>
          <w:numId w:val="1004"/>
        </w:numPr>
      </w:pPr>
      <w:r>
        <w:t xml:space="preserve">Download the signed MSI, matching source companion and checksums from the</w:t>
      </w:r>
      <w:r>
        <w:t xml:space="preserve"> </w:t>
      </w:r>
      <w:hyperlink r:id="rId9">
        <w:r>
          <w:rPr>
            <w:rStyle w:val="Hyperlink"/>
          </w:rPr>
          <w:t xml:space="preserve">public Windows release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Verify the MSI hash and Authenticode publisher before installing on a fresh Windows profile. 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the tested setup.</w:t>
      </w:r>
    </w:p>
    <w:p>
      <w:pPr>
        <w:pStyle w:val="Compact"/>
        <w:numPr>
          <w:ilvl w:val="0"/>
          <w:numId w:val="1004"/>
        </w:numPr>
      </w:pPr>
      <w:r>
        <w:t xml:space="preserve">Launch Townlight under the intended named Windows account. Choose</w:t>
      </w:r>
      <w:r>
        <w:t xml:space="preserve"> </w:t>
      </w:r>
      <w:r>
        <w:t xml:space="preserve">the storage folders. Select</w:t>
      </w:r>
      <w:r>
        <w:t xml:space="preserve"> </w:t>
      </w:r>
      <w:r>
        <w:rPr>
          <w:b/>
          <w:bCs/>
        </w:rPr>
        <w:t xml:space="preserve">Townlight Inspections</w:t>
      </w:r>
      <w:r>
        <w:rPr>
          <w:b/>
          <w:bCs/>
        </w:rP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(</w:t>
      </w:r>
      <w:r>
        <w:rPr>
          <w:rStyle w:val="VerbatimChar"/>
        </w:rPr>
        <w:t xml:space="preserve">inspections-preview</w:t>
      </w:r>
      <w:r>
        <w:t xml:space="preserve">) for the bounded</w:t>
      </w:r>
      <w:r>
        <w:t xml:space="preserve"> </w:t>
      </w:r>
      <w:r>
        <w:t xml:space="preserve">desktop composition, including Access and Notice. A narrower default</w:t>
      </w:r>
      <w:r>
        <w:t xml:space="preserve"> </w:t>
      </w:r>
      <w:r>
        <w:t xml:space="preserve">selection will not expose all workspaces.</w:t>
      </w:r>
    </w:p>
    <w:p>
      <w:pPr>
        <w:pStyle w:val="Compact"/>
        <w:numPr>
          <w:ilvl w:val="0"/>
          <w:numId w:val="1004"/>
        </w:numPr>
      </w:pPr>
      <w:r>
        <w:t xml:space="preserve">Enter the city profile, time zone and contacts. Create the first</w:t>
      </w:r>
      <w:r>
        <w:t xml:space="preserve"> </w:t>
      </w:r>
      <w:r>
        <w:t xml:space="preserve">named local administrator, sign in and choose protected backup storage.</w:t>
      </w:r>
      <w:r>
        <w:t xml:space="preserve"> </w:t>
      </w:r>
      <w:r>
        <w:rPr>
          <w:b/>
          <w:bCs/>
        </w:rPr>
        <w:t xml:space="preserve">Continue without local AI</w:t>
      </w:r>
      <w:r>
        <w:t xml:space="preserve"> </w:t>
      </w:r>
      <w:r>
        <w:t xml:space="preserve">is valid for the</w:t>
      </w:r>
      <w:r>
        <w:t xml:space="preserve"> </w:t>
      </w:r>
      <w:r>
        <w:t xml:space="preserve">deterministic workflows.</w:t>
      </w:r>
    </w:p>
    <w:p>
      <w:pPr>
        <w:pStyle w:val="Compact"/>
        <w:numPr>
          <w:ilvl w:val="0"/>
          <w:numId w:val="1004"/>
        </w:numPr>
      </w:pPr>
      <w:r>
        <w:t xml:space="preserve">Run Health Check and wait for readiness. Open Townlight. In System</w:t>
      </w:r>
      <w:r>
        <w:t xml:space="preserve"> </w:t>
      </w:r>
      <w:r>
        <w:t xml:space="preserve">Health select</w:t>
      </w:r>
      <w:r>
        <w:t xml:space="preserve"> </w:t>
      </w:r>
      <w:r>
        <w:rPr>
          <w:b/>
          <w:bCs/>
        </w:rPr>
        <w:t xml:space="preserve">Finish Records Migration</w:t>
      </w:r>
      <w:r>
        <w:t xml:space="preserve"> </w:t>
      </w:r>
      <w:r>
        <w:t xml:space="preserve">to activate the</w:t>
      </w:r>
      <w:r>
        <w:t xml:space="preserve"> </w:t>
      </w:r>
      <w:r>
        <w:t xml:space="preserve">canonical Python/PostgreSQL runtime. Do not fabricate migration receipts</w:t>
      </w:r>
      <w:r>
        <w:t xml:space="preserve"> </w:t>
      </w:r>
      <w:r>
        <w:t xml:space="preserve">or seed accounts.</w:t>
      </w:r>
    </w:p>
    <w:p>
      <w:pPr>
        <w:pStyle w:val="Compact"/>
        <w:numPr>
          <w:ilvl w:val="0"/>
          <w:numId w:val="1004"/>
        </w:numPr>
      </w:pPr>
      <w:r>
        <w:t xml:space="preserve">Create named staff through Settings. Import authorized sources using</w:t>
      </w:r>
      <w:r>
        <w:t xml:space="preserve"> </w:t>
      </w:r>
      <w:r>
        <w:t xml:space="preserve">each product’s source library. All examples in this package are</w:t>
      </w:r>
      <w:r>
        <w:t xml:space="preserve"> </w:t>
      </w:r>
      <w:r>
        <w:t xml:space="preserve">synthetic; they are not municipal authority.</w:t>
      </w:r>
    </w:p>
    <w:p>
      <w:pPr>
        <w:pStyle w:val="Compact"/>
        <w:numPr>
          <w:ilvl w:val="0"/>
          <w:numId w:val="1004"/>
        </w:numPr>
      </w:pPr>
      <w:r>
        <w:t xml:space="preserve">Provision Station separately if it is part of the beta exercise.</w:t>
      </w:r>
      <w:r>
        <w:t xml:space="preserve"> </w:t>
      </w:r>
      <w:r>
        <w:t xml:space="preserve">Selecting the desktop composition does not start or configure Station.</w:t>
      </w:r>
      <w:r>
        <w:t xml:space="preserve"> </w:t>
      </w:r>
      <w:r>
        <w:t xml:space="preserve">Configure vision explicitly only if automatic photo drafting is</w:t>
      </w:r>
      <w:r>
        <w:t xml:space="preserve"> </w:t>
      </w:r>
      <w:r>
        <w:t xml:space="preserve">selected.</w:t>
      </w:r>
    </w:p>
    <w:bookmarkEnd w:id="15"/>
    <w:bookmarkStart w:id="31" w:name="daily-workflow"/>
    <w:p>
      <w:pPr>
        <w:pStyle w:val="Heading2"/>
      </w:pPr>
      <w:r>
        <w:t xml:space="preserve">Daily workflow</w:t>
      </w:r>
    </w:p>
    <w:p>
      <w:pPr>
        <w:pStyle w:val="FirstParagraph"/>
      </w:pPr>
      <w:bookmarkStart w:id="16" w:name="workflow-1"/>
      <w:bookmarkEnd w:id="16"/>
    </w:p>
    <w:bookmarkStart w:id="18" w:name="import-requirements"/>
    <w:p>
      <w:pPr>
        <w:pStyle w:val="Heading3"/>
      </w:pPr>
      <w:r>
        <w:t xml:space="preserve">1. Import requirements</w:t>
      </w:r>
    </w:p>
    <w:p>
      <w:pPr>
        <w:pStyle w:val="FirstParagraph"/>
      </w:pPr>
      <w:r>
        <w:t xml:space="preserve">Open Requirement library and select the complete JSON</w:t>
      </w:r>
      <w:r>
        <w:t xml:space="preserve"> </w:t>
      </w:r>
      <w:r>
        <w:t xml:space="preserve">RequirementBundle. Inspect jurisdiction, project type, effective/source</w:t>
      </w:r>
      <w:r>
        <w:t xml:space="preserve"> </w:t>
      </w:r>
      <w:r>
        <w:t xml:space="preserve">dates, original filename/hash and material citations. Later revisions</w:t>
      </w:r>
      <w:r>
        <w:t xml:space="preserve"> </w:t>
      </w:r>
      <w:r>
        <w:t xml:space="preserve">require the current revision and preserve history.</w:t>
      </w:r>
    </w:p>
    <w:p>
      <w:pPr>
        <w:pStyle w:val="BodyText"/>
      </w:pPr>
      <w:bookmarkStart w:id="17" w:name="workflow-2"/>
      <w:bookmarkEnd w:id="17"/>
    </w:p>
    <w:bookmarkEnd w:id="18"/>
    <w:bookmarkStart w:id="20" w:name="read-pathway-guidance"/>
    <w:p>
      <w:pPr>
        <w:pStyle w:val="Heading3"/>
      </w:pPr>
      <w:r>
        <w:t xml:space="preserve">2. Read pathway guidance</w:t>
      </w:r>
    </w:p>
    <w:p>
      <w:pPr>
        <w:pStyle w:val="FirstParagraph"/>
      </w:pPr>
      <w:r>
        <w:t xml:space="preserve">Choose the retained requirement revision and matching project type.</w:t>
      </w:r>
      <w:r>
        <w:t xml:space="preserve"> </w:t>
      </w:r>
      <w:r>
        <w:t xml:space="preserve">Inspect material requirements, pathway steps and source-backed</w:t>
      </w:r>
      <w:r>
        <w:t xml:space="preserve"> </w:t>
      </w:r>
      <w:r>
        <w:t xml:space="preserve">timing/fee text. If authority is absent, seek the source; do not invent</w:t>
      </w:r>
      <w:r>
        <w:t xml:space="preserve"> </w:t>
      </w:r>
      <w:r>
        <w:t xml:space="preserve">a requirement, date or fee.</w:t>
      </w:r>
    </w:p>
    <w:p>
      <w:pPr>
        <w:pStyle w:val="BodyText"/>
      </w:pPr>
      <w:bookmarkStart w:id="19" w:name="workflow-3"/>
      <w:bookmarkEnd w:id="19"/>
    </w:p>
    <w:bookmarkEnd w:id="20"/>
    <w:bookmarkStart w:id="22" w:name="prepare-intake"/>
    <w:p>
      <w:pPr>
        <w:pStyle w:val="Heading3"/>
      </w:pPr>
      <w:r>
        <w:t xml:space="preserve">3. Prepare intake</w:t>
      </w:r>
    </w:p>
    <w:p>
      <w:pPr>
        <w:pStyle w:val="FirstParagraph"/>
      </w:pPr>
      <w:r>
        <w:t xml:space="preserve">Create the case with project, location, applicant contact and staff</w:t>
      </w:r>
      <w:r>
        <w:t xml:space="preserve"> </w:t>
      </w:r>
      <w:r>
        <w:t xml:space="preserve">assignment. Assess materials as not reviewed, provided, missing or</w:t>
      </w:r>
      <w:r>
        <w:t xml:space="preserve"> </w:t>
      </w:r>
      <w:r>
        <w:t xml:space="preserve">unclear. Keep private notes and the proposal separate from the public</w:t>
      </w:r>
      <w:r>
        <w:t xml:space="preserve"> </w:t>
      </w:r>
      <w:r>
        <w:t xml:space="preserve">summary.</w:t>
      </w:r>
    </w:p>
    <w:p>
      <w:pPr>
        <w:pStyle w:val="BodyText"/>
      </w:pPr>
      <w:bookmarkStart w:id="21" w:name="workflow-4"/>
      <w:bookmarkEnd w:id="21"/>
    </w:p>
    <w:bookmarkEnd w:id="22"/>
    <w:bookmarkStart w:id="24" w:name="select-cited-context"/>
    <w:p>
      <w:pPr>
        <w:pStyle w:val="Heading3"/>
      </w:pPr>
      <w:r>
        <w:t xml:space="preserve">4. Select cited context</w:t>
      </w:r>
    </w:p>
    <w:p>
      <w:pPr>
        <w:pStyle w:val="FirstParagraph"/>
      </w:pPr>
      <w:r>
        <w:t xml:space="preserve">Search Code and Zoning and choose the exact permitted versions.</w:t>
      </w:r>
      <w:r>
        <w:t xml:space="preserve"> </w:t>
      </w:r>
      <w:r>
        <w:t xml:space="preserve">Source availability and expected hashes are checked during search, save</w:t>
      </w:r>
      <w:r>
        <w:t xml:space="preserve"> </w:t>
      </w:r>
      <w:r>
        <w:t xml:space="preserve">and export.</w:t>
      </w:r>
    </w:p>
    <w:p>
      <w:pPr>
        <w:pStyle w:val="BodyText"/>
      </w:pPr>
      <w:bookmarkStart w:id="23" w:name="workflow-5"/>
      <w:bookmarkEnd w:id="23"/>
    </w:p>
    <w:bookmarkEnd w:id="24"/>
    <w:bookmarkStart w:id="26" w:name="save-and-review"/>
    <w:p>
      <w:pPr>
        <w:pStyle w:val="Heading3"/>
      </w:pPr>
      <w:r>
        <w:t xml:space="preserve">5. Save and review</w:t>
      </w:r>
    </w:p>
    <w:p>
      <w:pPr>
        <w:pStyle w:val="FirstParagraph"/>
      </w:pPr>
      <w:r>
        <w:t xml:space="preserve">Save the intake, reopen it and reconcile revision conflicts. Record</w:t>
      </w:r>
      <w:r>
        <w:t xml:space="preserve"> </w:t>
      </w:r>
      <w:r>
        <w:t xml:space="preserve">staff review with review notes. The trusted staff path derives the</w:t>
      </w:r>
      <w:r>
        <w:t xml:space="preserve"> </w:t>
      </w:r>
      <w:r>
        <w:t xml:space="preserve">reviewer; later edits require a new review.</w:t>
      </w:r>
    </w:p>
    <w:p>
      <w:pPr>
        <w:pStyle w:val="BodyText"/>
      </w:pPr>
      <w:bookmarkStart w:id="25" w:name="workflow-6"/>
      <w:bookmarkEnd w:id="25"/>
    </w:p>
    <w:bookmarkEnd w:id="26"/>
    <w:bookmarkStart w:id="28" w:name="inspect-each-audience"/>
    <w:p>
      <w:pPr>
        <w:pStyle w:val="Heading3"/>
      </w:pPr>
      <w:r>
        <w:t xml:space="preserve">6. Inspect each audience</w:t>
      </w:r>
    </w:p>
    <w:p>
      <w:pPr>
        <w:pStyle w:val="FirstParagraph"/>
      </w:pPr>
      <w:r>
        <w:t xml:space="preserve">A staff packet can contain private detail. A Records copy uses the</w:t>
      </w:r>
      <w:r>
        <w:t xml:space="preserve"> </w:t>
      </w:r>
      <w:r>
        <w:t xml:space="preserve">separately reviewed public summary and excludes applicant contact,</w:t>
      </w:r>
      <w:r>
        <w:t xml:space="preserve"> </w:t>
      </w:r>
      <w:r>
        <w:t xml:space="preserve">location, proposal, material notes and private staff notes. Preview it</w:t>
      </w:r>
      <w:r>
        <w:t xml:space="preserve"> </w:t>
      </w:r>
      <w:r>
        <w:t xml:space="preserve">before creating it.</w:t>
      </w:r>
    </w:p>
    <w:p>
      <w:pPr>
        <w:pStyle w:val="BodyText"/>
      </w:pPr>
      <w:bookmarkStart w:id="27" w:name="workflow-7"/>
      <w:bookmarkEnd w:id="27"/>
    </w:p>
    <w:bookmarkEnd w:id="28"/>
    <w:bookmarkStart w:id="29" w:name="attach-and-verify"/>
    <w:p>
      <w:pPr>
        <w:pStyle w:val="Heading3"/>
      </w:pPr>
      <w:r>
        <w:t xml:space="preserve">7. Attach and verify</w:t>
      </w:r>
    </w:p>
    <w:p>
      <w:pPr>
        <w:pStyle w:val="FirstParagraph"/>
      </w:pPr>
      <w:r>
        <w:t xml:space="preserve">Attach the exact hash-checked copy to an existing Records request.</w:t>
      </w:r>
      <w:r>
        <w:t xml:space="preserve"> </w:t>
      </w:r>
      <w:r>
        <w:t xml:space="preserve">Reopen Records and inspect it. Records retains its separate release,</w:t>
      </w:r>
      <w:r>
        <w:t xml:space="preserve"> </w:t>
      </w:r>
      <w:r>
        <w:t xml:space="preserve">approval and fulfillment controls.</w:t>
      </w:r>
    </w:p>
    <w:bookmarkEnd w:id="29"/>
    <w:bookmarkStart w:id="30" w:name="working-safely"/>
    <w:p>
      <w:pPr>
        <w:pStyle w:val="Heading3"/>
      </w:pPr>
      <w:r>
        <w:t xml:space="preserve">Working safely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bookmarkEnd w:id="30"/>
    <w:bookmarkEnd w:id="31"/>
    <w:bookmarkStart w:id="33" w:name="connected-workflows"/>
    <w:p>
      <w:pPr>
        <w:pStyle w:val="Heading2"/>
      </w:pPr>
      <w:r>
        <w:t xml:space="preserve">Connected workflows</w:t>
      </w:r>
    </w:p>
    <w:p>
      <w:pPr>
        <w:pStyle w:val="FirstParagraph"/>
      </w:pPr>
      <w:r>
        <w:t xml:space="preserve">Consumes Code and Zoning evidence and hands a reviewed Records copy</w:t>
      </w:r>
      <w:r>
        <w:t xml:space="preserve"> </w:t>
      </w:r>
      <w:r>
        <w:t xml:space="preserve">to an existing request. There is no automatic creation of an Inspections</w:t>
      </w:r>
      <w:r>
        <w:t xml:space="preserve"> </w:t>
      </w:r>
      <w:r>
        <w:t xml:space="preserve">case.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t xml:space="preserve">Material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A complete RequirementBundle with jurisdiction, project type, source</w:t>
            </w:r>
            <w:r>
              <w:t xml:space="preserve"> </w:t>
            </w:r>
            <w:r>
              <w:t xml:space="preserve">dates, originals and citations; proposal/contact details; permitted</w:t>
            </w:r>
            <w:r>
              <w:t xml:space="preserve"> </w:t>
            </w:r>
            <w:r>
              <w:t xml:space="preserve">Code/Zoning sources.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Source-grounded guidance, saved reviewed intake workpapers and an</w:t>
            </w:r>
            <w:r>
              <w:t xml:space="preserve"> </w:t>
            </w:r>
            <w:r>
              <w:t xml:space="preserve">exact audience-specific packet or Records handoff.</w:t>
            </w:r>
          </w:p>
        </w:tc>
      </w:tr>
    </w:tbl>
    <w:bookmarkStart w:id="32" w:name="product-boundary"/>
    <w:p>
      <w:pPr>
        <w:pStyle w:val="Heading3"/>
      </w:pPr>
      <w:r>
        <w:t xml:space="preserve">Product boundary</w:t>
      </w:r>
    </w:p>
    <w:p>
      <w:pPr>
        <w:pStyle w:val="FirstParagraph"/>
      </w:pPr>
      <w:r>
        <w:t xml:space="preserve">Does not issue permits, collect money, calculate authoritative permit</w:t>
      </w:r>
      <w:r>
        <w:t xml:space="preserve"> </w:t>
      </w:r>
      <w:r>
        <w:t xml:space="preserve">fees, schedule inspections or write decisions to a commercial permit</w:t>
      </w:r>
      <w:r>
        <w:t xml:space="preserve"> </w:t>
      </w:r>
      <w:r>
        <w:t xml:space="preserve">system. Imported official fee amounts or fee-source wording are</w:t>
      </w:r>
      <w:r>
        <w:t xml:space="preserve"> </w:t>
      </w:r>
      <w:r>
        <w:t xml:space="preserve">information from their source, not a new authoritative calculation.</w:t>
      </w:r>
      <w:r>
        <w:t xml:space="preserve"> </w:t>
      </w:r>
      <w:r>
        <w:t xml:space="preserve">Universal vendor status mirroring and an internet applicant portal are</w:t>
      </w:r>
      <w:r>
        <w:t xml:space="preserve"> </w:t>
      </w:r>
      <w:r>
        <w:t xml:space="preserve">outside this beta scope.</w:t>
      </w:r>
    </w:p>
    <w:bookmarkEnd w:id="32"/>
    <w:bookmarkEnd w:id="33"/>
    <w:bookmarkStart w:id="37" w:name="architecture"/>
    <w:p>
      <w:pPr>
        <w:pStyle w:val="Heading2"/>
      </w:pPr>
      <w:r>
        <w:t xml:space="preserve">Architecture</w:t>
      </w:r>
    </w:p>
    <w:p>
      <w:pPr>
        <w:pStyle w:val="CaptionedFigure"/>
      </w:pPr>
      <w:r>
        <w:drawing>
          <wp:inline>
            <wp:extent cx="5334000" cy="1889125"/>
            <wp:effectExtent b="0" l="0" r="0" t="0"/>
            <wp:docPr descr="Townlight Permitting architecture and evidence flow" title="" id="35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permitting-architectur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Townlight Permitting architecture and</w:t>
      </w:r>
      <w:r>
        <w:t xml:space="preserve"> </w:t>
      </w:r>
      <w:r>
        <w:t xml:space="preserve">evidence flow</w:t>
      </w:r>
    </w:p>
    <w:p>
      <w:pPr>
        <w:pStyle w:val="BodyText"/>
      </w:pPr>
      <w:r>
        <w:t xml:space="preserve">The drawing shows the principal staff/evidence path. Native commands</w:t>
      </w:r>
      <w:r>
        <w:t xml:space="preserve"> </w:t>
      </w:r>
      <w:r>
        <w:t xml:space="preserve">carry trusted identity to Python business services; PostgreSQL and</w:t>
      </w:r>
      <w:r>
        <w:t xml:space="preserve"> </w:t>
      </w:r>
      <w:r>
        <w:t xml:space="preserve">retained original files hold durable state. A downstream copy does not</w:t>
      </w:r>
      <w:r>
        <w:t xml:space="preserve"> </w:t>
      </w:r>
      <w:r>
        <w:t xml:space="preserve">silently transfer decision authority. Station has its own configured</w:t>
      </w:r>
      <w:r>
        <w:t xml:space="preserve"> </w:t>
      </w:r>
      <w:r>
        <w:t xml:space="preserve">authority/media boundary, database and mutable files. The</w:t>
      </w:r>
      <w:r>
        <w:t xml:space="preserve"> </w:t>
      </w:r>
      <w:r>
        <w:t xml:space="preserve">connected-workflow text supplies the drawing’s reading order and</w:t>
      </w:r>
      <w:r>
        <w:t xml:space="preserve"> </w:t>
      </w:r>
      <w:r>
        <w:t xml:space="preserve">accessibility alternative.</w:t>
      </w:r>
    </w:p>
    <w:bookmarkEnd w:id="37"/>
    <w:bookmarkStart w:id="39" w:name="X9136de5dddd8df2a0eb91eb17dfa2bb8e3e081a"/>
    <w:p>
      <w:pPr>
        <w:pStyle w:val="Heading2"/>
      </w:pPr>
      <w:r>
        <w:t xml:space="preserve">Describe a</w:t>
      </w:r>
      <w:r>
        <w:t xml:space="preserve"> </w:t>
      </w:r>
      <w:r>
        <w:t xml:space="preserve">project and read source grounded guidance</w:t>
      </w:r>
    </w:p>
    <w:p>
      <w:pPr>
        <w:pStyle w:val="Compact"/>
        <w:numPr>
          <w:ilvl w:val="0"/>
          <w:numId w:val="1005"/>
        </w:numPr>
      </w:pPr>
      <w:r>
        <w:t xml:space="preserve">Import and verify the complete requirement bundle in</w:t>
      </w:r>
      <w:r>
        <w:t xml:space="preserve"> </w:t>
      </w:r>
      <w:r>
        <w:rPr>
          <w:b/>
          <w:bCs/>
        </w:rPr>
        <w:t xml:space="preserve">Requirement library</w:t>
      </w:r>
      <w:r>
        <w:t xml:space="preserve">. Retain its actual revision and</w:t>
      </w:r>
      <w:r>
        <w:t xml:space="preserve"> </w:t>
      </w:r>
      <w:r>
        <w:t xml:space="preserve">matching project type. A bundle for a different project type is not</w:t>
      </w:r>
      <w:r>
        <w:t xml:space="preserve"> </w:t>
      </w:r>
      <w:r>
        <w:t xml:space="preserve">interchangeable authority.</w:t>
      </w:r>
    </w:p>
    <w:p>
      <w:pPr>
        <w:pStyle w:val="Compact"/>
        <w:numPr>
          <w:ilvl w:val="0"/>
          <w:numId w:val="1005"/>
        </w:numPr>
      </w:pPr>
      <w:r>
        <w:t xml:space="preserve">Open</w:t>
      </w:r>
      <w:r>
        <w:t xml:space="preserve"> </w:t>
      </w:r>
      <w:r>
        <w:rPr>
          <w:b/>
          <w:bCs/>
        </w:rPr>
        <w:t xml:space="preserve">Describe your project</w:t>
      </w:r>
      <w:r>
        <w:t xml:space="preserve">. Enter the</w:t>
      </w:r>
      <w:r>
        <w:t xml:space="preserve"> </w:t>
      </w:r>
      <w:r>
        <w:rPr>
          <w:b/>
          <w:bCs/>
        </w:rPr>
        <w:t xml:space="preserve">project type</w:t>
      </w:r>
      <w:r>
        <w:t xml:space="preserve">, retained</w:t>
      </w:r>
      <w:r>
        <w:t xml:space="preserve"> </w:t>
      </w:r>
      <w:r>
        <w:rPr>
          <w:b/>
          <w:bCs/>
        </w:rPr>
        <w:t xml:space="preserve">requirement</w:t>
      </w:r>
      <w:r>
        <w:rPr>
          <w:b/>
          <w:bCs/>
        </w:rPr>
        <w:t xml:space="preserve"> </w:t>
      </w:r>
      <w:r>
        <w:rPr>
          <w:b/>
          <w:bCs/>
        </w:rPr>
        <w:t xml:space="preserve">revision</w:t>
      </w:r>
      <w:r>
        <w:t xml:space="preserve">, your</w:t>
      </w:r>
      <w:r>
        <w:t xml:space="preserve"> </w:t>
      </w:r>
      <w:r>
        <w:rPr>
          <w:b/>
          <w:bCs/>
        </w:rPr>
        <w:t xml:space="preserve">proposal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location</w:t>
      </w:r>
      <w:r>
        <w:rPr>
          <w:b/>
          <w:bCs/>
        </w:rPr>
        <w:t xml:space="preserve"> </w:t>
      </w:r>
      <w:r>
        <w:rPr>
          <w:b/>
          <w:bCs/>
        </w:rPr>
        <w:t xml:space="preserve">context</w:t>
      </w:r>
      <w:r>
        <w:t xml:space="preserve">. The proposal explains the contemplated work; location</w:t>
      </w:r>
      <w:r>
        <w:t xml:space="preserve"> </w:t>
      </w:r>
      <w:r>
        <w:t xml:space="preserve">context helps staff understand applicability. Keep private applicant</w:t>
      </w:r>
      <w:r>
        <w:t xml:space="preserve"> </w:t>
      </w:r>
      <w:r>
        <w:t xml:space="preserve">contact and staff notes in their intended intake fields rather than a</w:t>
      </w:r>
      <w:r>
        <w:t xml:space="preserve"> </w:t>
      </w:r>
      <w:r>
        <w:t xml:space="preserve">public explanation.</w:t>
      </w:r>
    </w:p>
    <w:p>
      <w:pPr>
        <w:pStyle w:val="Compact"/>
        <w:numPr>
          <w:ilvl w:val="0"/>
          <w:numId w:val="1005"/>
        </w:numPr>
      </w:pPr>
      <w:r>
        <w:t xml:space="preserve">Request the existing pathway. Read required materials, cited steps</w:t>
      </w:r>
      <w:r>
        <w:t xml:space="preserve"> </w:t>
      </w:r>
      <w:r>
        <w:t xml:space="preserve">and any source-backed timing or fee information together with the</w:t>
      </w:r>
      <w:r>
        <w:t xml:space="preserve"> </w:t>
      </w:r>
      <w:r>
        <w:t xml:space="preserve">retained sources.</w:t>
      </w:r>
    </w:p>
    <w:p>
      <w:pPr>
        <w:pStyle w:val="Compact"/>
        <w:numPr>
          <w:ilvl w:val="0"/>
          <w:numId w:val="1005"/>
        </w:numPr>
      </w:pPr>
      <w:r>
        <w:t xml:space="preserve">Inspect the</w:t>
      </w:r>
      <w:r>
        <w:t xml:space="preserve"> </w:t>
      </w:r>
      <w:r>
        <w:rPr>
          <w:rStyle w:val="VerbatimChar"/>
        </w:rPr>
        <w:t xml:space="preserve">unavailable</w:t>
      </w:r>
      <w:r>
        <w:t xml:space="preserve"> </w:t>
      </w:r>
      <w:r>
        <w:t xml:space="preserve">items. The application can</w:t>
      </w:r>
      <w:r>
        <w:t xml:space="preserve"> </w:t>
      </w:r>
      <w:r>
        <w:t xml:space="preserve">return useful cited material and also explicitly lack authority for a</w:t>
      </w:r>
      <w:r>
        <w:t xml:space="preserve"> </w:t>
      </w:r>
      <w:r>
        <w:t xml:space="preserve">fee, duration or stage. Obtain an applicable source or leave it</w:t>
      </w:r>
      <w:r>
        <w:t xml:space="preserve"> </w:t>
      </w:r>
      <w:r>
        <w:t xml:space="preserve">unavailable; do not turn a blank into zero or a guessed deadline.</w:t>
      </w:r>
    </w:p>
    <w:p>
      <w:pPr>
        <w:pStyle w:val="Compact"/>
        <w:numPr>
          <w:ilvl w:val="0"/>
          <w:numId w:val="1005"/>
        </w:numPr>
      </w:pPr>
      <w:r>
        <w:t xml:space="preserve">If preparing a case, save the intake separately, select actual</w:t>
      </w:r>
      <w:r>
        <w:t xml:space="preserve"> </w:t>
      </w:r>
      <w:r>
        <w:t xml:space="preserve">Code/Zoning authority, record staff review and inspect the public copy</w:t>
      </w:r>
      <w:r>
        <w:t xml:space="preserve"> </w:t>
      </w:r>
      <w:r>
        <w:t xml:space="preserve">before the Records handoff. Requesting guidance is not issuance or</w:t>
      </w:r>
      <w:r>
        <w:t xml:space="preserve"> </w:t>
      </w:r>
      <w:r>
        <w:t xml:space="preserve">approval.</w:t>
      </w:r>
    </w:p>
    <w:p>
      <w:pPr>
        <w:pStyle w:val="FirstParagraph"/>
      </w:pPr>
      <w:r>
        <w:t xml:space="preserve">An authenticated request to</w:t>
      </w:r>
      <w:r>
        <w:t xml:space="preserve"> </w:t>
      </w:r>
      <w:r>
        <w:rPr>
          <w:rStyle w:val="VerbatimChar"/>
        </w:rPr>
        <w:t xml:space="preserve">POST /desktop/v1/permitting/pathway</w:t>
      </w:r>
      <w:r>
        <w:t xml:space="preserve"> </w:t>
      </w:r>
      <w:r>
        <w:t xml:space="preserve">can use:</w:t>
      </w:r>
    </w:p>
    <w:bookmarkStart w:id="38" w:name="cb1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"project_type"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"synthetic-deck"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"requirement_revision"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"11111111-1111-4111-8111-111111111111"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"proposal"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"Replace a synthetic residential deck"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"location_context"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"Fictional test parcel"</w:t>
      </w:r>
      <w:r>
        <w:rPr>
          <w:rStyle w:val="FunctionTok"/>
        </w:rPr>
        <w:t xml:space="preserve">}</w:t>
      </w:r>
    </w:p>
    <w:bookmarkEnd w:id="38"/>
    <w:p>
      <w:pPr>
        <w:pStyle w:val="FirstParagraph"/>
      </w:pPr>
      <w:r>
        <w:t xml:space="preserve">Replace the revision and project type with the matching retained</w:t>
      </w:r>
      <w:r>
        <w:t xml:space="preserve"> </w:t>
      </w:r>
      <w:r>
        <w:t xml:space="preserve">synthetic bundle. The API’s optional</w:t>
      </w:r>
      <w:r>
        <w:t xml:space="preserve"> </w:t>
      </w:r>
      <w:r>
        <w:rPr>
          <w:rStyle w:val="VerbatimChar"/>
        </w:rPr>
        <w:t xml:space="preserve">fee_link</w:t>
      </w:r>
      <w:r>
        <w:t xml:space="preserve"> </w:t>
      </w:r>
      <w:r>
        <w:t xml:space="preserve">is an exact</w:t>
      </w:r>
      <w:r>
        <w:t xml:space="preserve"> </w:t>
      </w:r>
      <w:r>
        <w:t xml:space="preserve">permitted source link when the client can supply one; it is not a fee</w:t>
      </w:r>
      <w:r>
        <w:t xml:space="preserve"> </w:t>
      </w:r>
      <w:r>
        <w:t xml:space="preserve">formula or arbitrary amount. The native Describe your project form does</w:t>
      </w:r>
      <w:r>
        <w:t xml:space="preserve"> </w:t>
      </w:r>
      <w:r>
        <w:t xml:space="preserve">not become a fee-authority editor. Imported official amounts and</w:t>
      </w:r>
      <w:r>
        <w:t xml:space="preserve"> </w:t>
      </w:r>
      <w:r>
        <w:t xml:space="preserve">explanatory estimates retain their source and informational status. No</w:t>
      </w:r>
      <w:r>
        <w:t xml:space="preserve"> </w:t>
      </w:r>
      <w:r>
        <w:t xml:space="preserve">authoritative fee calculation, payment collection, live-model call,</w:t>
      </w:r>
      <w:r>
        <w:t xml:space="preserve"> </w:t>
      </w:r>
      <w:r>
        <w:t xml:space="preserve">vendor status mirror or new portal is added by this workflow.</w:t>
      </w:r>
    </w:p>
    <w:p>
      <w:pPr>
        <w:pStyle w:val="BodyText"/>
      </w:pPr>
      <w:r>
        <w:t xml:space="preserve">Expected readback is the source-grounded guidance together with</w:t>
      </w:r>
      <w:r>
        <w:t xml:space="preserve"> </w:t>
      </w:r>
      <w:r>
        <w:t xml:space="preserve">citations and explicitly unavailable items. Check actual source</w:t>
      </w:r>
      <w:r>
        <w:t xml:space="preserve"> </w:t>
      </w:r>
      <w:r>
        <w:t xml:space="preserve">identity/hash and review-required/informational indicators, rather than</w:t>
      </w:r>
      <w:r>
        <w:t xml:space="preserve"> </w:t>
      </w:r>
      <w:r>
        <w:t xml:space="preserve">treating a successful HTTP response as proof of complete or</w:t>
      </w:r>
      <w:r>
        <w:t xml:space="preserve"> </w:t>
      </w:r>
      <w:r>
        <w:t xml:space="preserve">authoritative guidance. Read the full returned shape in the API</w:t>
      </w:r>
      <w:r>
        <w:t xml:space="preserve"> </w:t>
      </w:r>
      <w:r>
        <w:t xml:space="preserve">reference and preserve a copy only through the existing</w:t>
      </w:r>
      <w:r>
        <w:t xml:space="preserve"> </w:t>
      </w:r>
      <w:r>
        <w:t xml:space="preserve">saved-case/review contracts.</w:t>
      </w:r>
    </w:p>
    <w:p>
      <w:pPr>
        <w:pStyle w:val="BodyText"/>
      </w:pPr>
      <w:r>
        <w:t xml:space="preserve">Source contracts:</w:t>
      </w:r>
      <w:r>
        <w:t xml:space="preserve"> </w:t>
      </w:r>
      <w:r>
        <w:rPr>
          <w:rStyle w:val="VerbatimChar"/>
        </w:rPr>
        <w:t xml:space="preserve">townlight_permitting/pathway.py</w:t>
      </w:r>
      <w:r>
        <w:t xml:space="preserve">,</w:t>
      </w:r>
      <w:r>
        <w:t xml:space="preserve"> </w:t>
      </w:r>
      <w:r>
        <w:t xml:space="preserve">requirement source models,</w:t>
      </w:r>
      <w:r>
        <w:t xml:space="preserve"> </w:t>
      </w:r>
      <w:r>
        <w:rPr>
          <w:rStyle w:val="VerbatimChar"/>
        </w:rPr>
        <w:t xml:space="preserve">townlight_runtime/permitting_bridge.py</w:t>
      </w:r>
      <w:r>
        <w:t xml:space="preserve"> </w:t>
      </w:r>
      <w:r>
        <w:t xml:space="preserve">and the Permitting</w:t>
      </w:r>
      <w:r>
        <w:t xml:space="preserve"> </w:t>
      </w:r>
      <w:r>
        <w:t xml:space="preserve">view.</w:t>
      </w:r>
    </w:p>
    <w:bookmarkEnd w:id="39"/>
    <w:bookmarkStart w:id="45" w:name="technical-specifications"/>
    <w:p>
      <w:pPr>
        <w:pStyle w:val="Heading2"/>
      </w:pPr>
      <w:r>
        <w:t xml:space="preserve">Technical specifications</w:t>
      </w:r>
    </w:p>
    <w:bookmarkStart w:id="40" w:name="runtime-and-storage"/>
    <w:p>
      <w:pPr>
        <w:pStyle w:val="Heading3"/>
      </w:pPr>
      <w:r>
        <w:t xml:space="preserve">Runtime and storage</w:t>
      </w:r>
    </w:p>
    <w:p>
      <w:pPr>
        <w:pStyle w:val="FirstParagraph"/>
      </w:pPr>
      <w:r>
        <w:t xml:space="preserve">The accepted package targets</w:t>
      </w:r>
      <w:r>
        <w:t xml:space="preserve"> </w:t>
      </w:r>
      <w:r>
        <w:rPr>
          <w:b/>
          <w:bCs/>
        </w:rPr>
        <w:t xml:space="preserve">Windows x64 fresh</w:t>
      </w:r>
      <w:r>
        <w:rPr>
          <w:b/>
          <w:bCs/>
        </w:rPr>
        <w:t xml:space="preserve"> </w:t>
      </w:r>
      <w:r>
        <w:rPr>
          <w:b/>
          <w:bCs/>
        </w:rPr>
        <w:t xml:space="preserve">installation</w:t>
      </w:r>
      <w:r>
        <w:t xml:space="preserve">. Its native shell uses</w:t>
      </w:r>
      <w:r>
        <w:t xml:space="preserve"> </w:t>
      </w:r>
      <w:r>
        <w:rPr>
          <w:b/>
          <w:bCs/>
        </w:rPr>
        <w:t xml:space="preserve">Rust 2021, Tauri 2</w:t>
      </w:r>
      <w:r>
        <w:rPr>
          <w:b/>
          <w:bCs/>
        </w:rPr>
        <w:t xml:space="preserve"> </w:t>
      </w:r>
      <w:r>
        <w:rPr>
          <w:b/>
          <w:bCs/>
        </w:rPr>
        <w:t xml:space="preserve">and Microsoft WebView2</w:t>
      </w:r>
      <w:r>
        <w:t xml:space="preserve">; browser assets are JavaScript built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Vite 8.1.6</w:t>
      </w:r>
      <w:r>
        <w:t xml:space="preserve">. This describes the native desktop</w:t>
      </w:r>
      <w:r>
        <w:t xml:space="preserve"> </w:t>
      </w:r>
      <w:r>
        <w:t xml:space="preserve">frontend; Station has a separate React operator, specified below or in</w:t>
      </w:r>
      <w:r>
        <w:t xml:space="preserve"> </w:t>
      </w:r>
      <w:r>
        <w:t xml:space="preserve">its product manual. Canonical business workflows use bundled</w:t>
      </w:r>
      <w:r>
        <w:t xml:space="preserve"> </w:t>
      </w:r>
      <w:r>
        <w:rPr>
          <w:b/>
          <w:bCs/>
        </w:rPr>
        <w:t xml:space="preserve">CPython 3.13.5, FastAPI, Pydantic, SQLAlchemy and</w:t>
      </w:r>
      <w:r>
        <w:rPr>
          <w:b/>
          <w:bCs/>
        </w:rPr>
        <w:t xml:space="preserve"> </w:t>
      </w:r>
      <w:r>
        <w:rPr>
          <w:b/>
          <w:bCs/>
        </w:rPr>
        <w:t xml:space="preserve">Alembic</w:t>
      </w:r>
      <w:r>
        <w:t xml:space="preserve">, with</w:t>
      </w:r>
      <w:r>
        <w:t xml:space="preserve"> </w:t>
      </w:r>
      <w:r>
        <w:rPr>
          <w:b/>
          <w:bCs/>
        </w:rPr>
        <w:t xml:space="preserve">PostgreSQL 17 / PostGIS</w:t>
      </w:r>
      <w:r>
        <w:t xml:space="preserve"> </w:t>
      </w:r>
      <w:r>
        <w:t xml:space="preserve">and</w:t>
      </w:r>
      <w:r>
        <w:t xml:space="preserve"> </w:t>
      </w:r>
      <w:r>
        <w:t xml:space="preserve">managed original files. The installed runtime tested here contains</w:t>
      </w:r>
      <w:r>
        <w:t xml:space="preserve"> </w:t>
      </w:r>
      <w:r>
        <w:t xml:space="preserve">FastAPI 0.162.0. Package minimum Python requirements can differ from the</w:t>
      </w:r>
      <w:r>
        <w:t xml:space="preserve"> </w:t>
      </w:r>
      <w:r>
        <w:t xml:space="preserve">bundled executable; the metadata reference preserves both. No stack</w:t>
      </w:r>
      <w:r>
        <w:t xml:space="preserve"> </w:t>
      </w:r>
      <w:r>
        <w:t xml:space="preserve">rewrite is implied by the beta label.</w:t>
      </w:r>
    </w:p>
    <w:p>
      <w:pPr>
        <w:pStyle w:val="BodyText"/>
      </w:pPr>
      <w:r>
        <w:t xml:space="preserve">The native transport is fixed to loopback</w:t>
      </w:r>
      <w:r>
        <w:t xml:space="preserve"> </w:t>
      </w:r>
      <w:r>
        <w:rPr>
          <w:rStyle w:val="VerbatimChar"/>
        </w:rPr>
        <w:t xml:space="preserve">127.0.0.1:15480</w:t>
      </w:r>
      <w:r>
        <w:t xml:space="preserve">; PostgreSQL uses the configured local</w:t>
      </w:r>
      <w:r>
        <w:t xml:space="preserve"> </w:t>
      </w:r>
      <w:r>
        <w:t xml:space="preserve">runtime port (default</w:t>
      </w:r>
      <w:r>
        <w:t xml:space="preserve"> </w:t>
      </w:r>
      <w:r>
        <w:rPr>
          <w:rStyle w:val="VerbatimChar"/>
        </w:rPr>
        <w:t xml:space="preserve">15432</w:t>
      </w:r>
      <w:r>
        <w:t xml:space="preserve">). Optional local model service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127.0.0.1:15434</w:t>
      </w:r>
      <w:r>
        <w:t xml:space="preserve">. Those are deployment defaults,</w:t>
      </w:r>
      <w:r>
        <w:t xml:space="preserve"> </w:t>
      </w:r>
      <w:r>
        <w:t xml:space="preserve">not internet endpoints. The runtime has health, module and readiness</w:t>
      </w:r>
      <w:r>
        <w:t xml:space="preserve"> </w:t>
      </w:r>
      <w:r>
        <w:t xml:space="preserve">endpoints; readiness is stronger than process existence. The task queue</w:t>
      </w:r>
      <w:r>
        <w:t xml:space="preserve"> </w:t>
      </w:r>
      <w:r>
        <w:t xml:space="preserve">is the existing local Core task infrastructure, not an assertion that a</w:t>
      </w:r>
      <w:r>
        <w:t xml:space="preserve"> </w:t>
      </w:r>
      <w:r>
        <w:t xml:space="preserve">separate Redis service is required for this desktop composition.</w:t>
      </w:r>
    </w:p>
    <w:p>
      <w:pPr>
        <w:pStyle w:val="BodyText"/>
      </w:pPr>
      <w:r>
        <w:t xml:space="preserve">The default native profile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;</w:t>
      </w:r>
      <w:r>
        <w:t xml:space="preserve"> </w:t>
      </w:r>
      <w:r>
        <w:t xml:space="preserve">the historical directory name remains part of compatibility. Do not</w:t>
      </w:r>
      <w:r>
        <w:t xml:space="preserve"> </w:t>
      </w:r>
      <w:r>
        <w:t xml:space="preserve">rename it to Townlight. A configured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 </w:t>
      </w:r>
      <w:r>
        <w:t xml:space="preserve">must be absolute. Local configuration and secrets live under that</w:t>
      </w:r>
      <w:r>
        <w:t xml:space="preserve"> </w:t>
      </w:r>
      <w:r>
        <w:t xml:space="preserve">profile; protected managed files and database state must be backed up</w:t>
      </w:r>
      <w:r>
        <w:t xml:space="preserve"> </w:t>
      </w:r>
      <w:r>
        <w:t xml:space="preserve">coherently. Source/runtime identity is distinct from a product’s display</w:t>
      </w:r>
      <w:r>
        <w:t xml:space="preserve"> </w:t>
      </w:r>
      <w:r>
        <w:t xml:space="preserve">label.</w:t>
      </w:r>
    </w:p>
    <w:bookmarkEnd w:id="40"/>
    <w:bookmarkStart w:id="41" w:name="data-and-consistency"/>
    <w:p>
      <w:pPr>
        <w:pStyle w:val="Heading3"/>
      </w:pPr>
      <w:r>
        <w:t xml:space="preserve">Data and consistency</w:t>
      </w:r>
    </w:p>
    <w:p>
      <w:pPr>
        <w:pStyle w:val="FirstParagraph"/>
      </w:pPr>
      <w:r>
        <w:t xml:space="preserve">Requirement bundles and immutable revisions; cited materials and</w:t>
      </w:r>
      <w:r>
        <w:t xml:space="preserve"> </w:t>
      </w:r>
      <w:r>
        <w:t xml:space="preserve">pathway steps; source timing and fee information; intake cases and</w:t>
      </w:r>
      <w:r>
        <w:t xml:space="preserve"> </w:t>
      </w:r>
      <w:r>
        <w:t xml:space="preserve">revisions; material assessments; reviews; staff and Records packets.</w:t>
      </w:r>
    </w:p>
    <w:p>
      <w:pPr>
        <w:pStyle w:val="BodyText"/>
      </w:pPr>
      <w:r>
        <w:t xml:space="preserve">Versioned saves use expected prior revision identifiers where</w:t>
      </w:r>
      <w:r>
        <w:t xml:space="preserve"> </w:t>
      </w:r>
      <w:r>
        <w:t xml:space="preserve">defined. Reopen and reconcile on conflict. Exact exports and handoffs</w:t>
      </w:r>
      <w:r>
        <w:t xml:space="preserve"> </w:t>
      </w:r>
      <w:r>
        <w:t xml:space="preserve">use source IDs, current visibility, revision and SHA256. Review belongs</w:t>
      </w:r>
      <w:r>
        <w:t xml:space="preserve"> </w:t>
      </w:r>
      <w:r>
        <w:t xml:space="preserve">to the saved revision and does not transfer silently to edited text.</w:t>
      </w:r>
      <w:r>
        <w:t xml:space="preserve"> </w:t>
      </w:r>
      <w:r>
        <w:t xml:space="preserve">Database changes use the owning product’s migrations; a request or</w:t>
      </w:r>
      <w:r>
        <w:t xml:space="preserve"> </w:t>
      </w:r>
      <w:r>
        <w:t xml:space="preserve">readiness check is not an authorization to mutate schema.</w:t>
      </w:r>
    </w:p>
    <w:bookmarkEnd w:id="41"/>
    <w:bookmarkStart w:id="44" w:name="capacity-and-platform-statements"/>
    <w:p>
      <w:pPr>
        <w:pStyle w:val="Heading3"/>
      </w:pPr>
      <w:r>
        <w:t xml:space="preserve">Capacity and platform</w:t>
      </w:r>
      <w:r>
        <w:t xml:space="preserve"> </w:t>
      </w:r>
      <w:r>
        <w:t xml:space="preserve">statements</w:t>
      </w:r>
    </w:p>
    <w:p>
      <w:pPr>
        <w:pStyle w:val="FirstParagraph"/>
      </w:pPr>
      <w:r>
        <w:t xml:space="preserve">This beta has synthetic single-profile workflow evidence. It does not</w:t>
      </w:r>
      <w:r>
        <w:t xml:space="preserve"> </w:t>
      </w:r>
      <w:r>
        <w:t xml:space="preserve">have a published benchmark for concurrent staff capacity, minimum</w:t>
      </w:r>
      <w:r>
        <w:t xml:space="preserve"> </w:t>
      </w:r>
      <w:r>
        <w:t xml:space="preserve">RAM/CPU, large-source limits or a field SLA. Do not turn a developer</w:t>
      </w:r>
      <w:r>
        <w:t xml:space="preserve"> </w:t>
      </w:r>
      <w:r>
        <w:t xml:space="preserve">machine’s specification into a supported minimum. The signed MSI is 2,082,697,216 bytes; allow additional disk for extracted runtime,</w:t>
      </w:r>
      <w:r>
        <w:t xml:space="preserve"> </w:t>
      </w:r>
      <w:r>
        <w:t xml:space="preserve">database, originals, exports, media and backups. Select</w:t>
      </w:r>
      <w:r>
        <w:t xml:space="preserve"> </w:t>
      </w:r>
      <w:r>
        <w:t xml:space="preserve">equipment/storage after sizing those actual workloads.</w:t>
      </w:r>
    </w:p>
    <w:p>
      <w:pPr>
        <w:pStyle w:val="BodyText"/>
      </w:pPr>
      <w:r>
        <w:t xml:space="preserve">The exact</w:t>
      </w:r>
      <w:r>
        <w:t xml:space="preserve"> </w:t>
      </w:r>
      <w:hyperlink r:id="rId42">
        <w:r>
          <w:rPr>
            <w:rStyle w:val="Hyperlink"/>
          </w:rPr>
          <w:t xml:space="preserve">runtime payload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lock</w:t>
        </w:r>
      </w:hyperlink>
      <w:r>
        <w:t xml:space="preserve"> </w:t>
      </w:r>
      <w:r>
        <w:t xml:space="preserve">records pinned files, sizes and hashes. The</w:t>
      </w:r>
      <w:r>
        <w:t xml:space="preserve"> </w:t>
      </w:r>
      <w:hyperlink r:id="rId43">
        <w:r>
          <w:rPr>
            <w:rStyle w:val="Hyperlink"/>
          </w:rPr>
          <w:t xml:space="preserve">component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records shipped dependency declarations. These references</w:t>
      </w:r>
      <w:r>
        <w:t xml:space="preserve"> </w:t>
      </w:r>
      <w:r>
        <w:t xml:space="preserve">are more precise than a manually copied dependency list. Third-party and</w:t>
      </w:r>
      <w:r>
        <w:t xml:space="preserve"> </w:t>
      </w:r>
      <w:r>
        <w:t xml:space="preserve">historical license notices must accompany their matching payloads.</w:t>
      </w:r>
    </w:p>
    <w:bookmarkEnd w:id="44"/>
    <w:bookmarkEnd w:id="45"/>
    <w:bookmarkStart w:id="48" w:name="configuration-and-administration"/>
    <w:p>
      <w:pPr>
        <w:pStyle w:val="Heading2"/>
      </w:pPr>
      <w:r>
        <w:t xml:space="preserve">Configuration and</w:t>
      </w:r>
      <w:r>
        <w:t xml:space="preserve"> </w:t>
      </w:r>
      <w:r>
        <w:t xml:space="preserve">administration</w:t>
      </w:r>
    </w:p>
    <w:bookmarkStart w:id="46" w:name="native-deployment-configuration"/>
    <w:p>
      <w:pPr>
        <w:pStyle w:val="Heading3"/>
      </w:pPr>
      <w:r>
        <w:t xml:space="preserve">Native deployment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t xml:space="preserve">Use Setup, Settings and System Health for supported staff operation.</w:t>
      </w:r>
      <w:r>
        <w:t xml:space="preserve"> </w:t>
      </w:r>
      <w:r>
        <w:t xml:space="preserve">Administrators provision folders, backup storage, named accounts and the</w:t>
      </w:r>
      <w:r>
        <w:t xml:space="preserve"> </w:t>
      </w:r>
      <w:r>
        <w:t xml:space="preserve">city profile. Select</w:t>
      </w:r>
      <w:r>
        <w:t xml:space="preserve"> </w:t>
      </w:r>
      <w:r>
        <w:rPr>
          <w:rStyle w:val="VerbatimChar"/>
        </w:rPr>
        <w:t xml:space="preserve">inspections-preview</w:t>
      </w:r>
      <w:r>
        <w:t xml:space="preserve"> </w:t>
      </w:r>
      <w:r>
        <w:t xml:space="preserve">for the bounded</w:t>
      </w:r>
      <w:r>
        <w:t xml:space="preserve"> </w:t>
      </w:r>
      <w:r>
        <w:t xml:space="preserve">desktop composition, including Access and Notice. Station remains a</w:t>
      </w:r>
      <w:r>
        <w:t xml:space="preserve"> </w:t>
      </w:r>
      <w:r>
        <w:t xml:space="preserve">separate service boundary. Do not use a standalone product’s demo server</w:t>
      </w:r>
      <w:r>
        <w:t xml:space="preserve"> </w:t>
      </w:r>
      <w:r>
        <w:t xml:space="preserve">as a substitute for the installed workspace.</w:t>
      </w:r>
    </w:p>
    <w:p>
      <w:pPr>
        <w:pStyle w:val="BodyText"/>
      </w:pPr>
      <w:r>
        <w:t xml:space="preserve">Technical deployments use</w:t>
      </w:r>
      <w:r>
        <w:t xml:space="preserve"> </w:t>
      </w:r>
      <w:r>
        <w:rPr>
          <w:rStyle w:val="VerbatimChar"/>
        </w:rPr>
        <w:t xml:space="preserve">TOWNLIGHT_PRODUCT_PROFILE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TOWNLIGHT_RUNTIME_PORT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PORTAL_MODE</w:t>
      </w:r>
      <w:r>
        <w:t xml:space="preserve"> </w:t>
      </w:r>
      <w:r>
        <w:t xml:space="preserve">and the</w:t>
      </w:r>
      <w:r>
        <w:t xml:space="preserve"> </w:t>
      </w:r>
      <w:r>
        <w:t xml:space="preserve">runtime-managed secret files. Treat database URLs and native session</w:t>
      </w:r>
      <w:r>
        <w:t xml:space="preserve"> </w:t>
      </w:r>
      <w:r>
        <w:t xml:space="preserve">proofs as secrets. The installed native domain runtime explicitly</w:t>
      </w:r>
      <w:r>
        <w:t xml:space="preserve"> </w:t>
      </w:r>
      <w:r>
        <w:t xml:space="preserve">refuses non-loopback binding.</w:t>
      </w:r>
      <w:r>
        <w:t xml:space="preserve"> </w:t>
      </w:r>
      <w:r>
        <w:rPr>
          <w:rStyle w:val="VerbatimChar"/>
        </w:rPr>
        <w:t xml:space="preserve">PORTAL_MODE=private</w:t>
      </w:r>
      <w:r>
        <w:t xml:space="preserve"> </w:t>
      </w:r>
      <w:r>
        <w:t xml:space="preserve">is the</w:t>
      </w:r>
      <w:r>
        <w:t xml:space="preserve"> </w:t>
      </w:r>
      <w:r>
        <w:t xml:space="preserve">accepted posture; changing it does not by itself commission an internet</w:t>
      </w:r>
      <w:r>
        <w:t xml:space="preserve"> </w:t>
      </w:r>
      <w:r>
        <w:t xml:space="preserve">portal, authentication provider or reverse proxy.</w:t>
      </w:r>
    </w:p>
    <w:p>
      <w:pPr>
        <w:pStyle w:val="BodyText"/>
      </w:pPr>
      <w:r>
        <w:t xml:space="preserve">The isolated documentation exporter sets a fictional profile and</w:t>
      </w:r>
      <w:r>
        <w:t xml:space="preserve"> </w:t>
      </w:r>
      <w:r>
        <w:t xml:space="preserve">unusable synthetic database origin only to read schemas; those values</w:t>
      </w:r>
      <w:r>
        <w:t xml:space="preserve"> </w:t>
      </w:r>
      <w:r>
        <w:t xml:space="preserve">are not deployment configuration. Keep deployment values in the intended</w:t>
      </w:r>
      <w:r>
        <w:t xml:space="preserve"> </w:t>
      </w:r>
      <w:r>
        <w:t xml:space="preserve">process/account scope. An already-running process does not automatically</w:t>
      </w:r>
      <w:r>
        <w:t xml:space="preserve"> </w:t>
      </w:r>
      <w:r>
        <w:t xml:space="preserve">inherit later environment edits.</w:t>
      </w:r>
    </w:p>
    <w:bookmarkEnd w:id="46"/>
    <w:bookmarkStart w:id="47" w:name="requirement-source-configuration"/>
    <w:p>
      <w:pPr>
        <w:pStyle w:val="Heading3"/>
      </w:pPr>
      <w:r>
        <w:t xml:space="preserve">Requirement source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t xml:space="preserve">The supported requirement source is a complete versioned JSON bundle,</w:t>
      </w:r>
      <w:r>
        <w:t xml:space="preserve"> </w:t>
      </w:r>
      <w:r>
        <w:t xml:space="preserve">not an editable label pointing to an absent file. It retains project</w:t>
      </w:r>
      <w:r>
        <w:t xml:space="preserve"> </w:t>
      </w:r>
      <w:r>
        <w:t xml:space="preserve">type, source/effective dates, original name/hash and citations. Import a</w:t>
      </w:r>
      <w:r>
        <w:t xml:space="preserve"> </w:t>
      </w:r>
      <w:r>
        <w:t xml:space="preserve">later revision against the current expected revision. Pathway dates and</w:t>
      </w:r>
      <w:r>
        <w:t xml:space="preserve"> </w:t>
      </w:r>
      <w:r>
        <w:t xml:space="preserve">fee text must be tied to that retained authority. No official fee engine</w:t>
      </w:r>
      <w:r>
        <w:t xml:space="preserve"> </w:t>
      </w:r>
      <w:r>
        <w:t xml:space="preserve">or commercial permitting writeback is configured by this manual.</w:t>
      </w:r>
    </w:p>
    <w:bookmarkEnd w:id="47"/>
    <w:bookmarkEnd w:id="48"/>
    <w:bookmarkStart w:id="61" w:name="api-and-integration-examples"/>
    <w:p>
      <w:pPr>
        <w:pStyle w:val="Heading2"/>
      </w:pPr>
      <w:r>
        <w:t xml:space="preserve">API and integration examples</w:t>
      </w:r>
    </w:p>
    <w:bookmarkStart w:id="50" w:name="native-command-example"/>
    <w:p>
      <w:pPr>
        <w:pStyle w:val="Heading3"/>
      </w:pPr>
      <w:r>
        <w:t xml:space="preserve">Native command example</w:t>
      </w:r>
    </w:p>
    <w:p>
      <w:pPr>
        <w:pStyle w:val="FirstParagraph"/>
      </w:pPr>
      <w:r>
        <w:t xml:space="preserve">The following JavaScript belongs in the existing trusted Townlight</w:t>
      </w:r>
      <w:r>
        <w:t xml:space="preserve"> </w:t>
      </w:r>
      <w:r>
        <w:t xml:space="preserve">frontend/development environment with</w:t>
      </w:r>
      <w:r>
        <w:t xml:space="preserve"> </w:t>
      </w:r>
      <w:r>
        <w:rPr>
          <w:rStyle w:val="VerbatimChar"/>
        </w:rPr>
        <w:t xml:space="preserve">invoke</w:t>
      </w:r>
      <w:r>
        <w:t xml:space="preserve"> </w:t>
      </w:r>
      <w:r>
        <w:t xml:space="preserve">imported from</w:t>
      </w:r>
      <w:r>
        <w:t xml:space="preserve"> </w:t>
      </w:r>
      <w:r>
        <w:rPr>
          <w:rStyle w:val="VerbatimChar"/>
        </w:rPr>
        <w:t xml:space="preserve">@tauri-apps/api/core</w:t>
      </w:r>
      <w:r>
        <w:t xml:space="preserve">. It is not a command for an arbitrary</w:t>
      </w:r>
      <w:r>
        <w:t xml:space="preserve"> </w:t>
      </w:r>
      <w:r>
        <w:t xml:space="preserve">web page or an instruction for nontechnical staff. IDs must come from</w:t>
      </w:r>
      <w:r>
        <w:t xml:space="preserve"> </w:t>
      </w:r>
      <w:r>
        <w:t xml:space="preserve">records created in an isolated synthetic exercise.</w:t>
      </w:r>
    </w:p>
    <w:bookmarkStart w:id="49" w:name="cb2"/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invoke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'@tauri-apps/api/core'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'permitting_domain_request'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request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operation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'requirements'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offset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}})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(result)</w:t>
      </w:r>
      <w:r>
        <w:rPr>
          <w:rStyle w:val="OperatorTok"/>
        </w:rPr>
        <w:t xml:space="preserve">;</w:t>
      </w:r>
    </w:p>
    <w:bookmarkEnd w:id="49"/>
    <w:bookmarkEnd w:id="50"/>
    <w:bookmarkStart w:id="52" w:name="trusted-local-http-example"/>
    <w:p>
      <w:pPr>
        <w:pStyle w:val="Heading3"/>
      </w:pPr>
      <w:r>
        <w:t xml:space="preserve">Trusted local HTTP example</w:t>
      </w:r>
    </w:p>
    <w:p>
      <w:pPr>
        <w:pStyle w:val="FirstParagraph"/>
      </w:pPr>
      <w:r>
        <w:t xml:space="preserve">An administrator/developer can inspect an already-configured isolated</w:t>
      </w:r>
      <w:r>
        <w:t xml:space="preserve"> </w:t>
      </w:r>
      <w:r>
        <w:t xml:space="preserve">runtime from a trusted local process. This PowerShell example reads the</w:t>
      </w:r>
      <w:r>
        <w:t xml:space="preserve"> </w:t>
      </w:r>
      <w:r>
        <w:t xml:space="preserve">signed-in synthetic profile’s existing proof into memory; it does not</w:t>
      </w:r>
      <w:r>
        <w:t xml:space="preserve"> </w:t>
      </w:r>
      <w:r>
        <w:t xml:space="preserve">create a user, seed a session, reveal the proof in output or bypass a</w:t>
      </w:r>
      <w:r>
        <w:t xml:space="preserve"> </w:t>
      </w:r>
      <w:r>
        <w:t xml:space="preserve">permission check. Do not use real city data in development examples. A</w:t>
      </w:r>
      <w:r>
        <w:t xml:space="preserve"> </w:t>
      </w:r>
      <w:r>
        <w:t xml:space="preserve">read response does not prove approval or publication.</w:t>
      </w:r>
    </w:p>
    <w:bookmarkStart w:id="51" w:name="cb3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'config\local-session.json'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'http://127.0.0.1:15480/desktop/v1/permitting/requirements'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1"/>
    <w:bookmarkEnd w:id="52"/>
    <w:bookmarkStart w:id="54" w:name="complete-synthetic-source-bundle"/>
    <w:p>
      <w:pPr>
        <w:pStyle w:val="Heading3"/>
      </w:pPr>
      <w:r>
        <w:t xml:space="preserve">Complete synthetic source</w:t>
      </w:r>
      <w:r>
        <w:t xml:space="preserve"> </w:t>
      </w:r>
      <w:r>
        <w:t xml:space="preserve">bundle</w:t>
      </w:r>
    </w:p>
    <w:p>
      <w:pPr>
        <w:pStyle w:val="FirstParagraph"/>
      </w:pPr>
      <w:r>
        <w:t xml:space="preserve">The</w:t>
      </w:r>
      <w:r>
        <w:t xml:space="preserve"> </w:t>
      </w:r>
      <w:hyperlink r:id="rId53">
        <w:r>
          <w:rPr>
            <w:rStyle w:val="Hyperlink"/>
          </w:rPr>
          <w:t xml:space="preserve">synthetic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Permitting bundle</w:t>
        </w:r>
      </w:hyperlink>
      <w:r>
        <w:t xml:space="preserve"> </w:t>
      </w:r>
      <w:r>
        <w:t xml:space="preserve">is the retained fixture used by the beta staff</w:t>
      </w:r>
      <w:r>
        <w:t xml:space="preserve"> </w:t>
      </w:r>
      <w:r>
        <w:t xml:space="preserve">exercise. It includes the complete supported source envelope rather than</w:t>
      </w:r>
      <w:r>
        <w:t xml:space="preserve"> </w:t>
      </w:r>
      <w:r>
        <w:t xml:space="preserve">a shortened pseudo-payload. Keep its fictional source labels. For</w:t>
      </w:r>
      <w:r>
        <w:t xml:space="preserve"> </w:t>
      </w:r>
      <w:r>
        <w:t xml:space="preserve">Planning, wrap it as</w:t>
      </w:r>
      <w:r>
        <w:t xml:space="preserve"> </w:t>
      </w:r>
      <w:r>
        <w:rPr>
          <w:rStyle w:val="VerbatimChar"/>
        </w:rPr>
        <w:t xml:space="preserve">{"bundle": BUNDLE, "expected_previous_revision": null}</w:t>
      </w:r>
      <w:r>
        <w:t xml:space="preserve">; for</w:t>
      </w:r>
      <w:r>
        <w:t xml:space="preserve"> </w:t>
      </w:r>
      <w:r>
        <w:t xml:space="preserve">Permitting use</w:t>
      </w:r>
      <w:r>
        <w:t xml:space="preserve"> </w:t>
      </w:r>
      <w:r>
        <w:rPr>
          <w:rStyle w:val="VerbatimChar"/>
        </w:rPr>
        <w:t xml:space="preserve">{"bundle": BUNDLE, "expected_revision": null}</w:t>
      </w:r>
      <w:r>
        <w:t xml:space="preserve">. Code and</w:t>
      </w:r>
      <w:r>
        <w:t xml:space="preserve"> </w:t>
      </w:r>
      <w:r>
        <w:t xml:space="preserve">Zoning take their own complete import envelopes. Replace null with the</w:t>
      </w:r>
      <w:r>
        <w:t xml:space="preserve"> </w:t>
      </w:r>
      <w:r>
        <w:t xml:space="preserve">current expected revision when revising an existing source, as the</w:t>
      </w:r>
      <w:r>
        <w:t xml:space="preserve"> </w:t>
      </w:r>
      <w:r>
        <w:t xml:space="preserve">applicable schema requires. These are import examples, not legal</w:t>
      </w:r>
      <w:r>
        <w:t xml:space="preserve"> </w:t>
      </w:r>
      <w:r>
        <w:t xml:space="preserve">authority or permission to load them into a live city profile.</w:t>
      </w:r>
    </w:p>
    <w:bookmarkEnd w:id="54"/>
    <w:bookmarkStart w:id="56" w:name="Xc1e641ed528d4025c368f165cf10eb57eaf8eef"/>
    <w:p>
      <w:pPr>
        <w:pStyle w:val="Heading3"/>
      </w:pPr>
      <w:r>
        <w:t xml:space="preserve">A synthetic write</w:t>
      </w:r>
      <w:r>
        <w:t xml:space="preserve"> </w:t>
      </w:r>
      <w:r>
        <w:t xml:space="preserve">with subsequent readback</w:t>
      </w:r>
    </w:p>
    <w:p>
      <w:pPr>
        <w:pStyle w:val="FirstParagraph"/>
      </w:pPr>
      <w:r>
        <w:t xml:space="preserve">This example demonstrates the existing Meetings HTTP contract in an</w:t>
      </w:r>
      <w:r>
        <w:t xml:space="preserve"> </w:t>
      </w:r>
      <w:r>
        <w:t xml:space="preserve">isolated exercise. It is intentionally fictional. It does not start a</w:t>
      </w:r>
      <w:r>
        <w:t xml:space="preserve"> </w:t>
      </w:r>
      <w:r>
        <w:t xml:space="preserve">service. Its authentication setup is included so it can be run</w:t>
      </w:r>
      <w:r>
        <w:t xml:space="preserve"> </w:t>
      </w:r>
      <w:r>
        <w:t xml:space="preserve">independently under the signed-in synthetic account. If a write times</w:t>
      </w:r>
      <w:r>
        <w:t xml:space="preserve"> </w:t>
      </w:r>
      <w:r>
        <w:t xml:space="preserve">out, inspect current records before repeating it.</w:t>
      </w:r>
    </w:p>
    <w:bookmarkStart w:id="55" w:name="cb4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'config/local-session.json'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VariableTok"/>
        </w:rPr>
        <w:t xml:space="preserve">$body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title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documentation exercise'</w:t>
      </w:r>
      <w:r>
        <w:br/>
      </w:r>
      <w:r>
        <w:rPr>
          <w:rStyle w:val="NormalTok"/>
        </w:rPr>
        <w:t xml:space="preserve">  scheduled_start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'2026-11-05T18:00:00-07:00'</w:t>
      </w:r>
      <w:r>
        <w:br/>
      </w:r>
      <w:r>
        <w:rPr>
          <w:rStyle w:val="NormalTok"/>
        </w:rPr>
        <w:t xml:space="preserve">  location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room'</w:t>
      </w:r>
      <w:r>
        <w:br/>
      </w:r>
      <w:r>
        <w:rPr>
          <w:rStyle w:val="NormalTok"/>
        </w:rPr>
        <w:t xml:space="preserve">  meeting_type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'regular'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br/>
      </w:r>
      <w:r>
        <w:rPr>
          <w:rStyle w:val="VariableTok"/>
        </w:rPr>
        <w:t xml:space="preserve">$meeting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Post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'http://127.0.0.1:15480/desktop/v1/meetings/meetings'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ContentType </w:t>
      </w:r>
      <w:r>
        <w:rPr>
          <w:rStyle w:val="StringTok"/>
        </w:rPr>
        <w:t xml:space="preserve">'application/json'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</w:t>
      </w:r>
      <w:r>
        <w:rPr>
          <w:rStyle w:val="VariableTok"/>
        </w:rPr>
        <w:t xml:space="preserve">$body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'http://127.0.0.1:15480/desktop/v1/meetings/meetings/'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$meeting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5"/>
    <w:p>
      <w:pPr>
        <w:pStyle w:val="FirstParagraph"/>
      </w:pPr>
      <w:r>
        <w:t xml:space="preserve">This write requires Meetings to be enabled and the signed-in staff</w:t>
      </w:r>
      <w:r>
        <w:t xml:space="preserve"> </w:t>
      </w:r>
      <w:r>
        <w:t xml:space="preserve">role to permit it. It is a cross-suite integration example; for this</w:t>
      </w:r>
      <w:r>
        <w:t xml:space="preserve"> </w:t>
      </w:r>
      <w:r>
        <w:t xml:space="preserve">product’s request models, use the complete technical reference</w:t>
      </w:r>
      <w:r>
        <w:t xml:space="preserve"> </w:t>
      </w:r>
      <w:r>
        <w:t xml:space="preserve">below.</w:t>
      </w:r>
    </w:p>
    <w:bookmarkEnd w:id="56"/>
    <w:bookmarkStart w:id="60" w:name="complete-technical-contract"/>
    <w:p>
      <w:pPr>
        <w:pStyle w:val="Heading3"/>
      </w:pPr>
      <w:r>
        <w:t xml:space="preserve">Complete technical contract</w:t>
      </w:r>
    </w:p>
    <w:p>
      <w:pPr>
        <w:pStyle w:val="FirstParagraph"/>
      </w:pPr>
      <w:r>
        <w:t xml:space="preserve">Read the</w:t>
      </w:r>
      <w:r>
        <w:t xml:space="preserve"> </w:t>
      </w:r>
      <w:hyperlink r:id="rId57">
        <w:r>
          <w:rPr>
            <w:rStyle w:val="Hyperlink"/>
          </w:rPr>
          <w:t xml:space="preserve">Permitting API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for every documented operation, request field, constraint,</w:t>
      </w:r>
      <w:r>
        <w:t xml:space="preserve"> </w:t>
      </w:r>
      <w:r>
        <w:t xml:space="preserve">response declaration and source supplement. Download the</w:t>
      </w:r>
      <w:r>
        <w:t xml:space="preserve"> </w:t>
      </w:r>
      <w:hyperlink r:id="rId58">
        <w:r>
          <w:rPr>
            <w:rStyle w:val="Hyperlink"/>
          </w:rPr>
          <w:t xml:space="preserve">OpenAPI JSON</w:t>
        </w:r>
      </w:hyperlink>
      <w:r>
        <w:t xml:space="preserve"> </w:t>
      </w:r>
      <w:r>
        <w:t xml:space="preserve">for</w:t>
      </w:r>
      <w:r>
        <w:t xml:space="preserve"> </w:t>
      </w:r>
      <w:r>
        <w:t xml:space="preserve">tools. For Station this is the suite-side schema only; its separate</w:t>
      </w:r>
      <w:r>
        <w:t xml:space="preserve"> </w:t>
      </w:r>
      <w:r>
        <w:t xml:space="preserve">service contract is documented in the API supplement. The</w:t>
      </w:r>
      <w:r>
        <w:t xml:space="preserve"> </w:t>
      </w:r>
      <w:hyperlink r:id="rId59">
        <w:r>
          <w:rPr>
            <w:rStyle w:val="Hyperlink"/>
          </w:rPr>
          <w:t xml:space="preserve">reference directory</w:t>
        </w:r>
      </w:hyperlink>
      <w:r>
        <w:t xml:space="preserve"> </w:t>
      </w:r>
      <w:r>
        <w:t xml:space="preserve">includes</w:t>
      </w:r>
      <w:r>
        <w:t xml:space="preserve"> </w:t>
      </w:r>
      <w:r>
        <w:t xml:space="preserve">configuration/source inventories, dependency declarations, native</w:t>
      </w:r>
      <w:r>
        <w:t xml:space="preserve"> </w:t>
      </w:r>
      <w:r>
        <w:t xml:space="preserve">command contracts, MCP signatures and candidate evidence.</w:t>
      </w:r>
    </w:p>
    <w:bookmarkEnd w:id="60"/>
    <w:bookmarkEnd w:id="61"/>
    <w:bookmarkStart w:id="64" w:name="mcp-and-automation-boundary"/>
    <w:p>
      <w:pPr>
        <w:pStyle w:val="Heading2"/>
      </w:pPr>
      <w:r>
        <w:t xml:space="preserve">MCP and automation boundary</w:t>
      </w:r>
    </w:p>
    <w:p>
      <w:pPr>
        <w:pStyle w:val="FirstParagraph"/>
      </w:pPr>
      <w:r>
        <w:t xml:space="preserve">No direct product MCP server is exposed by the accepted Townlight</w:t>
      </w:r>
      <w:r>
        <w:t xml:space="preserve"> </w:t>
      </w:r>
      <w:r>
        <w:t xml:space="preserve">desktop or Station boundary. Do not configure an invented</w:t>
      </w:r>
      <w:r>
        <w:t xml:space="preserve"> </w:t>
      </w:r>
      <w:r>
        <w:rPr>
          <w:rStyle w:val="VerbatimChar"/>
        </w:rPr>
        <w:t xml:space="preserve">townlight mcp</w:t>
      </w:r>
      <w:r>
        <w:t xml:space="preserve"> </w:t>
      </w:r>
      <w:r>
        <w:t xml:space="preserve">command or assume an AI client has staff</w:t>
      </w:r>
      <w:r>
        <w:t xml:space="preserve"> </w:t>
      </w:r>
      <w:r>
        <w:t xml:space="preserve">permissions. The integration surfaces for this beta are native IPC, the</w:t>
      </w:r>
      <w:r>
        <w:t xml:space="preserve"> </w:t>
      </w:r>
      <w:r>
        <w:t xml:space="preserve">documented HTTP APIs, source bundle imports, exact exports and the</w:t>
      </w:r>
      <w:r>
        <w:t xml:space="preserve"> </w:t>
      </w:r>
      <w:r>
        <w:t xml:space="preserve">existing Station CLI.</w:t>
      </w:r>
    </w:p>
    <w:p>
      <w:pPr>
        <w:pStyle w:val="BodyText"/>
      </w:pPr>
      <w:r>
        <w:t xml:space="preserve">The bundled transcription code includes a</w:t>
      </w:r>
      <w:r>
        <w:t xml:space="preserve"> </w:t>
      </w:r>
      <w:r>
        <w:rPr>
          <w:b/>
          <w:bCs/>
        </w:rPr>
        <w:t xml:space="preserve">TextFlowKit MCP</w:t>
      </w:r>
      <w:r>
        <w:rPr>
          <w:b/>
          <w:bCs/>
        </w:rPr>
        <w:t xml:space="preserve"> </w:t>
      </w:r>
      <w:r>
        <w:rPr>
          <w:b/>
          <w:bCs/>
        </w:rPr>
        <w:t xml:space="preserve">adapter</w:t>
      </w:r>
      <w:r>
        <w:t xml:space="preserve"> </w:t>
      </w:r>
      <w:r>
        <w:t xml:space="preserve">as a separate source capability. It offers job-based</w:t>
      </w:r>
      <w:r>
        <w:t xml:space="preserve"> </w:t>
      </w:r>
      <w:r>
        <w:rPr>
          <w:rStyle w:val="VerbatimChar"/>
        </w:rPr>
        <w:t xml:space="preserve">transcribe_media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get_transcript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list_jobs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get_job_status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export_transcript</w:t>
      </w:r>
      <w:r>
        <w:t xml:space="preserve">, and additional tools declared in that</w:t>
      </w:r>
      <w:r>
        <w:t xml:space="preserve"> </w:t>
      </w:r>
      <w:r>
        <w:t xml:space="preserve">adapter. It uses stdio first and optional Streamable HTTP, with the MCP</w:t>
      </w:r>
      <w:r>
        <w:t xml:space="preserve"> </w:t>
      </w:r>
      <w:r>
        <w:t xml:space="preserve">SDK as an optional extra. It is not automatically launched,</w:t>
      </w:r>
      <w:r>
        <w:t xml:space="preserve"> </w:t>
      </w:r>
      <w:r>
        <w:t xml:space="preserve">authenticated as Townlight staff or accepted as a Townlight product MCP</w:t>
      </w:r>
      <w:r>
        <w:t xml:space="preserve"> </w:t>
      </w:r>
      <w:r>
        <w:t xml:space="preserve">deployment. This documentation does not add such a service.</w:t>
      </w:r>
    </w:p>
    <w:p>
      <w:pPr>
        <w:pStyle w:val="BodyText"/>
      </w:pPr>
      <w:r>
        <w:t xml:space="preserve">For a transcription client already provisioned separately, an</w:t>
      </w:r>
      <w:r>
        <w:t xml:space="preserve"> </w:t>
      </w:r>
      <w:r>
        <w:t xml:space="preserve">illustrative tool call is:</w:t>
      </w:r>
    </w:p>
    <w:bookmarkStart w:id="62" w:name="cb5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"get_job_status"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"arguments"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"job_id"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"synthetic-existing-job-id"</w:t>
      </w:r>
      <w:r>
        <w:rPr>
          <w:rStyle w:val="FunctionTok"/>
        </w:rPr>
        <w:t xml:space="preserve">}}</w:t>
      </w:r>
    </w:p>
    <w:bookmarkEnd w:id="62"/>
    <w:p>
      <w:pPr>
        <w:pStyle w:val="FirstParagraph"/>
      </w:pPr>
      <w:r>
        <w:t xml:space="preserve">Use a job ID returned by that transcription service. This example</w:t>
      </w:r>
      <w:r>
        <w:t xml:space="preserve"> </w:t>
      </w:r>
      <w:r>
        <w:t xml:space="preserve">does not create a Townlight record or bypass its review/Records handoff.</w:t>
      </w:r>
      <w:r>
        <w:t xml:space="preserve"> </w:t>
      </w:r>
      <w:r>
        <w:t xml:space="preserve">The exact optional adapter tool signatures are supplied in the</w:t>
      </w:r>
      <w:r>
        <w:t xml:space="preserve"> </w:t>
      </w:r>
      <w:hyperlink r:id="rId63">
        <w:r>
          <w:rPr>
            <w:rStyle w:val="Hyperlink"/>
          </w:rPr>
          <w:t xml:space="preserve">MCP source reference</w:t>
        </w:r>
      </w:hyperlink>
      <w:r>
        <w:t xml:space="preserve">. Station</w:t>
      </w:r>
      <w:r>
        <w:t xml:space="preserve"> </w:t>
      </w:r>
      <w:r>
        <w:t xml:space="preserve">meeting capture does not become live speech recognition because this</w:t>
      </w:r>
      <w:r>
        <w:t xml:space="preserve"> </w:t>
      </w:r>
      <w:r>
        <w:t xml:space="preserve">optional donor adapter exists.</w:t>
      </w:r>
    </w:p>
    <w:bookmarkEnd w:id="64"/>
    <w:bookmarkStart w:id="65" w:name="security-and-permissions"/>
    <w:p>
      <w:pPr>
        <w:pStyle w:val="Heading2"/>
      </w:pPr>
      <w:r>
        <w:t xml:space="preserve">Security and permissions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p>
      <w:pPr>
        <w:pStyle w:val="BodyText"/>
      </w:pPr>
      <w:r>
        <w:t xml:space="preserve">The native session is validated and mapped to a persisted SQL</w:t>
      </w:r>
      <w:r>
        <w:t xml:space="preserve"> </w:t>
      </w:r>
      <w:r>
        <w:t xml:space="preserve">identity. An editable actor/reviewer label is not authentication.</w:t>
      </w:r>
      <w:r>
        <w:t xml:space="preserve"> </w:t>
      </w:r>
      <w:r>
        <w:t xml:space="preserve">Product/module permissions and source visibility apply at the server</w:t>
      </w:r>
      <w:r>
        <w:t xml:space="preserve"> </w:t>
      </w:r>
      <w:r>
        <w:t xml:space="preserve">boundary. Revoked/unavailable authority fails closed for new Station</w:t>
      </w:r>
      <w:r>
        <w:t xml:space="preserve"> </w:t>
      </w:r>
      <w:r>
        <w:t xml:space="preserve">operations; a previous permission result is not a perpetual</w:t>
      </w:r>
      <w:r>
        <w:t xml:space="preserve"> </w:t>
      </w:r>
      <w:r>
        <w:t xml:space="preserve">authorization.</w:t>
      </w:r>
    </w:p>
    <w:p>
      <w:pPr>
        <w:pStyle w:val="BodyText"/>
      </w:pPr>
      <w:r>
        <w:t xml:space="preserve">Use protected local folders, account permissions and credential</w:t>
      </w:r>
      <w:r>
        <w:t xml:space="preserve"> </w:t>
      </w:r>
      <w:r>
        <w:t xml:space="preserve">storage. Never include the native session file, database passwords,</w:t>
      </w:r>
      <w:r>
        <w:t xml:space="preserve"> </w:t>
      </w:r>
      <w:r>
        <w:t xml:space="preserve">provider keys or unredacted support bundles in a public issue or</w:t>
      </w:r>
      <w:r>
        <w:t xml:space="preserve"> </w:t>
      </w:r>
      <w:r>
        <w:t xml:space="preserve">generated public documentation. A local public view is not automatically</w:t>
      </w:r>
      <w:r>
        <w:t xml:space="preserve"> </w:t>
      </w:r>
      <w:r>
        <w:t xml:space="preserve">a secured internet deployment. Keep network exposure and real equipment</w:t>
      </w:r>
      <w:r>
        <w:t xml:space="preserve"> </w:t>
      </w:r>
      <w:r>
        <w:t xml:space="preserve">acceptance specific to the chosen beta site.</w:t>
      </w:r>
    </w:p>
    <w:bookmarkEnd w:id="65"/>
    <w:bookmarkStart w:id="66" w:name="backup-recovery-and-maintenance"/>
    <w:p>
      <w:pPr>
        <w:pStyle w:val="Heading2"/>
      </w:pPr>
      <w:r>
        <w:t xml:space="preserve">Backup recovery and</w:t>
      </w:r>
      <w:r>
        <w:t xml:space="preserve"> </w:t>
      </w:r>
      <w:r>
        <w:t xml:space="preserve">maintenance</w:t>
      </w:r>
    </w:p>
    <w:p>
      <w:pPr>
        <w:pStyle w:val="FirstParagraph"/>
      </w:pPr>
      <w:r>
        <w:t xml:space="preserve">Save work and use Core’s canonical</w:t>
      </w:r>
      <w:r>
        <w:t xml:space="preserve"> </w:t>
      </w:r>
      <w:r>
        <w:rPr>
          <w:b/>
          <w:bCs/>
        </w:rPr>
        <w:t xml:space="preserve">Backup Now</w:t>
      </w:r>
      <w:r>
        <w:t xml:space="preserve"> </w:t>
      </w:r>
      <w:r>
        <w:t xml:space="preserve">before</w:t>
      </w:r>
      <w:r>
        <w:t xml:space="preserve"> </w:t>
      </w:r>
      <w:r>
        <w:t xml:space="preserve">maintenance. That operation stops writers. Preserve the coherent</w:t>
      </w:r>
      <w:r>
        <w:t xml:space="preserve"> </w:t>
      </w:r>
      <w:r>
        <w:t xml:space="preserve">profile/database/document backup and its receipt, then use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t xml:space="preserve">to resume. A source export is not a full</w:t>
      </w:r>
      <w:r>
        <w:t xml:space="preserve"> </w:t>
      </w:r>
      <w:r>
        <w:t xml:space="preserve">backup.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/>
          <w:bCs/>
        </w:rPr>
        <w:t xml:space="preserve">Restore Latest Backup</w:t>
      </w:r>
      <w:r>
        <w:t xml:space="preserve"> </w:t>
      </w:r>
      <w:r>
        <w:t xml:space="preserve">through the supported</w:t>
      </w:r>
      <w:r>
        <w:t xml:space="preserve"> </w:t>
      </w:r>
      <w:r>
        <w:t xml:space="preserve">controls. If the result says</w:t>
      </w:r>
      <w:r>
        <w:t xml:space="preserve"> </w:t>
      </w:r>
      <w:r>
        <w:rPr>
          <w:b/>
          <w:bCs/>
        </w:rPr>
        <w:t xml:space="preserve">Restore needs service</w:t>
      </w:r>
      <w:r>
        <w:rPr>
          <w:b/>
          <w:bCs/>
        </w:rPr>
        <w:t xml:space="preserve"> </w:t>
      </w:r>
      <w:r>
        <w:rPr>
          <w:b/>
          <w:bCs/>
        </w:rPr>
        <w:t xml:space="preserve">start</w:t>
      </w:r>
      <w:r>
        <w:t xml:space="preserve">, use</w:t>
      </w:r>
      <w:r>
        <w:t xml:space="preserve"> </w:t>
      </w:r>
      <w:r>
        <w:rPr>
          <w:b/>
          <w:bCs/>
        </w:rPr>
        <w:t xml:space="preserve">Start</w:t>
      </w:r>
      <w:r>
        <w:t xml:space="preserve">, then</w:t>
      </w:r>
      <w:r>
        <w:t xml:space="preserve"> </w:t>
      </w:r>
      <w:r>
        <w:rPr>
          <w:b/>
          <w:bCs/>
        </w:rPr>
        <w:t xml:space="preserve">Check</w:t>
      </w:r>
      <w:r>
        <w:t xml:space="preserve">,</w:t>
      </w:r>
      <w:r>
        <w:t xml:space="preserve"> </w:t>
      </w:r>
      <w:r>
        <w:t xml:space="preserve">and reopen a known record. Do not repeat restore merely because services</w:t>
      </w:r>
      <w:r>
        <w:t xml:space="preserve"> </w:t>
      </w:r>
      <w:r>
        <w:t xml:space="preserve">need to start. The fresh-profile acceptance verified that a fulfilled</w:t>
      </w:r>
      <w:r>
        <w:t xml:space="preserve"> </w:t>
      </w:r>
      <w:r>
        <w:t xml:space="preserve">request survived restore and a post-backup marker did not.</w:t>
      </w:r>
    </w:p>
    <w:p>
      <w:pPr>
        <w:pStyle w:val="BodyText"/>
      </w:pPr>
      <w:r>
        <w:t xml:space="preserve">Keep Station’s dedicated database and media evidence together in its</w:t>
      </w:r>
      <w:r>
        <w:t xml:space="preserve"> </w:t>
      </w:r>
      <w:r>
        <w:t xml:space="preserve">own backup. Core’s native-profile backup must not be assumed to include</w:t>
      </w:r>
      <w:r>
        <w:t xml:space="preserve"> </w:t>
      </w:r>
      <w:r>
        <w:t xml:space="preserve">an external Station data directory. Stop writers during a coordinated</w:t>
      </w:r>
      <w:r>
        <w:t xml:space="preserve"> </w:t>
      </w:r>
      <w:r>
        <w:t xml:space="preserve">backup. Preserve failed media attempts and logs.</w:t>
      </w:r>
    </w:p>
    <w:p>
      <w:pPr>
        <w:pStyle w:val="BodyText"/>
      </w:pPr>
      <w:r>
        <w:t xml:space="preserve">On failure, record the time, selected composition,</w:t>
      </w:r>
      <w:r>
        <w:t xml:space="preserve"> </w:t>
      </w:r>
      <w:r>
        <w:t xml:space="preserve">component/installer versions and exact message. Check System Health for</w:t>
      </w:r>
      <w:r>
        <w:t xml:space="preserve"> </w:t>
      </w:r>
      <w:r>
        <w:t xml:space="preserve">stopped, starting, ready or failed dependencies. Use the existing Retry</w:t>
      </w:r>
      <w:r>
        <w:t xml:space="preserve"> </w:t>
      </w:r>
      <w:r>
        <w:t xml:space="preserve">control after readiness; do not create duplicate business records to</w:t>
      </w:r>
      <w:r>
        <w:t xml:space="preserve"> </w:t>
      </w:r>
      <w:r>
        <w:t xml:space="preserve">refresh a stale view. Share only a redacted diagnostic bundle. Preserve</w:t>
      </w:r>
      <w:r>
        <w:t xml:space="preserve"> </w:t>
      </w:r>
      <w:r>
        <w:t xml:space="preserve">secrets, original evidence, recovery material and unrelated</w:t>
      </w:r>
      <w:r>
        <w:t xml:space="preserve"> </w:t>
      </w:r>
      <w:r>
        <w:t xml:space="preserve">installations.</w:t>
      </w:r>
    </w:p>
    <w:bookmarkEnd w:id="66"/>
    <w:bookmarkStart w:id="67" w:name="troubleshooting"/>
    <w:p>
      <w:pPr>
        <w:pStyle w:val="Heading2"/>
      </w:pPr>
      <w:r>
        <w:t xml:space="preserve">Troubleshooting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</w:t>
            </w:r>
          </w:p>
        </w:tc>
        <w:tc>
          <w:tcPr/>
          <w:p>
            <w:pPr>
              <w:pStyle w:val="Compact"/>
            </w:pPr>
            <w:r>
              <w:t xml:space="preserve">Likely meaning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Workspace absent</w:t>
            </w:r>
          </w:p>
        </w:tc>
        <w:tc>
          <w:tcPr/>
          <w:p>
            <w:pPr>
              <w:pStyle w:val="Compact"/>
            </w:pPr>
            <w:r>
              <w:t xml:space="preserve">Wrong product composition or unavailable canonical runtime.</w:t>
            </w:r>
          </w:p>
        </w:tc>
        <w:tc>
          <w:tcPr/>
          <w:p>
            <w:pPr>
              <w:pStyle w:val="Compact"/>
            </w:pPr>
            <w:r>
              <w:t xml:space="preserve">Check selected composition; activate through Finish Records</w:t>
            </w:r>
            <w:r>
              <w:t xml:space="preserve"> </w:t>
            </w:r>
            <w:r>
              <w:t xml:space="preserve">Migration; wait for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Cannot sign in / 401</w:t>
            </w:r>
          </w:p>
        </w:tc>
        <w:tc>
          <w:tcPr/>
          <w:p>
            <w:pPr>
              <w:pStyle w:val="Compact"/>
            </w:pPr>
            <w:r>
              <w:t xml:space="preserve">Missing or expired named account session.</w:t>
            </w:r>
          </w:p>
        </w:tc>
        <w:tc>
          <w:tcPr/>
          <w:p>
            <w:pPr>
              <w:pStyle w:val="Compact"/>
            </w:pPr>
            <w:r>
              <w:t xml:space="preserve">Sign in normally; reopen a Station launch ticket if applicable.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denied / 403</w:t>
            </w:r>
          </w:p>
        </w:tc>
        <w:tc>
          <w:tcPr/>
          <w:p>
            <w:pPr>
              <w:pStyle w:val="Compact"/>
            </w:pPr>
            <w:r>
              <w:t xml:space="preserve">Account, module, source or browser-origin permission.</w:t>
            </w:r>
          </w:p>
        </w:tc>
        <w:tc>
          <w:tcPr/>
          <w:p>
            <w:pPr>
              <w:pStyle w:val="Compact"/>
            </w:pPr>
            <w:r>
              <w:t xml:space="preserve">Ask the authorized administrator to inspect the intended permission;</w:t>
            </w:r>
            <w:r>
              <w:t xml:space="preserve"> </w:t>
            </w:r>
            <w:r>
              <w:t xml:space="preserve">do not invent role headers.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conflict / 409</w:t>
            </w:r>
          </w:p>
        </w:tc>
        <w:tc>
          <w:tcPr/>
          <w:p>
            <w:pPr>
              <w:pStyle w:val="Compact"/>
            </w:pPr>
            <w:r>
              <w:t xml:space="preserve">The saved revision, expected source hash or lifecycle changed.</w:t>
            </w:r>
          </w:p>
        </w:tc>
        <w:tc>
          <w:tcPr/>
          <w:p>
            <w:pPr>
              <w:pStyle w:val="Compact"/>
            </w:pPr>
            <w:r>
              <w:t xml:space="preserve">Keep edits, reopen current state and reconcile deliberately.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Invalid input / 422</w:t>
            </w:r>
          </w:p>
        </w:tc>
        <w:tc>
          <w:tcPr/>
          <w:p>
            <w:pPr>
              <w:pStyle w:val="Compact"/>
            </w:pPr>
            <w:r>
              <w:t xml:space="preserve">Required field, format, geometry, source envelope or state is</w:t>
            </w:r>
            <w:r>
              <w:t xml:space="preserve"> </w:t>
            </w:r>
            <w:r>
              <w:t xml:space="preserve">invalid.</w:t>
            </w:r>
          </w:p>
        </w:tc>
        <w:tc>
          <w:tcPr/>
          <w:p>
            <w:pPr>
              <w:pStyle w:val="Compact"/>
            </w:pPr>
            <w:r>
              <w:t xml:space="preserve">Read the field detail and correct the input/source; preserve</w:t>
            </w:r>
            <w:r>
              <w:t xml:space="preserve"> </w:t>
            </w:r>
            <w:r>
              <w:t xml:space="preserve">originals.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 unavailable / 503</w:t>
            </w:r>
          </w:p>
        </w:tc>
        <w:tc>
          <w:tcPr/>
          <w:p>
            <w:pPr>
              <w:pStyle w:val="Compact"/>
            </w:pPr>
            <w:r>
              <w:t xml:space="preserve">Database, schema, connected source or configuration</w:t>
            </w:r>
            <w:r>
              <w:t xml:space="preserve"> </w:t>
            </w:r>
            <w:r>
              <w:t xml:space="preserve">unavailable.</w:t>
            </w:r>
          </w:p>
        </w:tc>
        <w:tc>
          <w:tcPr/>
          <w:p>
            <w:pPr>
              <w:pStyle w:val="Compact"/>
            </w:pPr>
            <w:r>
              <w:t xml:space="preserve">Inspect System Health and the named dependency. Preserve work; retry</w:t>
            </w:r>
            <w:r>
              <w:t xml:space="preserve"> </w:t>
            </w:r>
            <w:r>
              <w:t xml:space="preserve">only after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Export refused</w:t>
            </w:r>
          </w:p>
        </w:tc>
        <w:tc>
          <w:tcPr/>
          <w:p>
            <w:pPr>
              <w:pStyle w:val="Compact"/>
            </w:pPr>
            <w:r>
              <w:t xml:space="preserve">Missing exact review, approval, audience or source</w:t>
            </w:r>
            <w:r>
              <w:t xml:space="preserve"> </w:t>
            </w:r>
            <w:r>
              <w:t xml:space="preserve">authorization.</w:t>
            </w:r>
          </w:p>
        </w:tc>
        <w:tc>
          <w:tcPr/>
          <w:p>
            <w:pPr>
              <w:pStyle w:val="Compact"/>
            </w:pPr>
            <w:r>
              <w:t xml:space="preserve">Read the refusal and complete the owning product’s explicit</w:t>
            </w:r>
            <w:r>
              <w:t xml:space="preserve"> </w:t>
            </w:r>
            <w:r>
              <w:t xml:space="preserve">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Restore needs service start</w:t>
            </w:r>
          </w:p>
        </w:tc>
        <w:tc>
          <w:tcPr/>
          <w:p>
            <w:pPr>
              <w:pStyle w:val="Compact"/>
            </w:pPr>
            <w:r>
              <w:t xml:space="preserve">The snapshot was restored but services have not resumed.</w:t>
            </w:r>
          </w:p>
        </w:tc>
        <w:tc>
          <w:tcPr/>
          <w:p>
            <w:pPr>
              <w:pStyle w:val="Compact"/>
            </w:pPr>
            <w:r>
              <w:t xml:space="preserve">Use Start, then Check and verify a saved record; do not blindly</w:t>
            </w:r>
            <w:r>
              <w:t xml:space="preserve"> </w:t>
            </w:r>
            <w:r>
              <w:t xml:space="preserve">repeat restore.</w:t>
            </w:r>
          </w:p>
        </w:tc>
      </w:tr>
    </w:tbl>
    <w:bookmarkEnd w:id="67"/>
    <w:bookmarkStart w:id="69" w:name="verified-workflows-and-limits"/>
    <w:p>
      <w:pPr>
        <w:pStyle w:val="Heading2"/>
      </w:pPr>
      <w:r>
        <w:t xml:space="preserve">Verified workflows and</w:t>
      </w:r>
      <w:r>
        <w:t xml:space="preserve"> </w:t>
      </w:r>
      <w:r>
        <w:t xml:space="preserve">limits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Recorded result</w:t>
            </w:r>
          </w:p>
        </w:tc>
        <w:tc>
          <w:tcPr/>
          <w:p>
            <w:pPr>
              <w:pStyle w:val="Compact"/>
            </w:pPr>
            <w:r>
              <w:t xml:space="preserve">Precisely exercised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Permitting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Retained requirement import, source-grounded</w:t>
            </w:r>
            <w:r>
              <w:t xml:space="preserve"> </w:t>
            </w:r>
            <w:r>
              <w:t xml:space="preserve">materials/pathway/timing, saved intake/review, separate hash-checked</w:t>
            </w:r>
            <w:r>
              <w:t xml:space="preserve"> </w:t>
            </w:r>
            <w:r>
              <w:t xml:space="preserve">Records copy and private handoff; contact exclusion; native</w:t>
            </w:r>
            <w:r>
              <w:t xml:space="preserve"> </w:t>
            </w:r>
            <w:r>
              <w:t xml:space="preserve">workspace.</w:t>
            </w:r>
          </w:p>
        </w:tc>
      </w:tr>
    </w:tbl>
    <w:p>
      <w:pPr>
        <w:pStyle w:val="BodyText"/>
      </w:pPr>
      <w:r>
        <w:t xml:space="preserve">These results come from the identified signed candidate’s fresh</w:t>
      </w:r>
      <w:r>
        <w:t xml:space="preserve"> </w:t>
      </w:r>
      <w:r>
        <w:t xml:space="preserve">normal-profile Sandbox exercise: real native IPC/HTTP/PostgreSQL and</w:t>
      </w:r>
      <w:r>
        <w:t xml:space="preserve"> </w:t>
      </w:r>
      <w:r>
        <w:t xml:space="preserve">selected headless controls. All accounts, source bundles and media were</w:t>
      </w:r>
      <w:r>
        <w:t xml:space="preserve"> </w:t>
      </w:r>
      <w:r>
        <w:t xml:space="preserve">synthetic. The guest install/uninstall and recovery passed, and the</w:t>
      </w:r>
      <w:r>
        <w:t xml:space="preserve"> </w:t>
      </w:r>
      <w:r>
        <w:t xml:space="preserve">owned Sandbox stopped. No host installed application or standalone</w:t>
      </w:r>
      <w:r>
        <w:t xml:space="preserve"> </w:t>
      </w:r>
      <w:r>
        <w:t xml:space="preserve">CivicCast was changed. This documentation task reuses those receipts; it</w:t>
      </w:r>
      <w:r>
        <w:t xml:space="preserve"> </w:t>
      </w:r>
      <w:r>
        <w:t xml:space="preserve">does not claim a new software acceptance run.</w:t>
      </w:r>
    </w:p>
    <w:p>
      <w:pPr>
        <w:pStyle w:val="BodyText"/>
      </w:pPr>
      <w:r>
        <w:t xml:space="preserve">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this MSI. The historical</w:t>
      </w:r>
      <w:r>
        <w:t xml:space="preserve"> </w:t>
      </w:r>
      <w:hyperlink r:id="rId68">
        <w:r>
          <w:rPr>
            <w:rStyle w:val="Hyperlink"/>
          </w:rPr>
          <w:t xml:space="preserve">evidence index</w:t>
        </w:r>
      </w:hyperlink>
      <w:r>
        <w:t xml:space="preserve"> </w:t>
      </w:r>
      <w:r>
        <w:t xml:space="preserve">applies to its original build.</w:t>
      </w:r>
    </w:p>
    <w:p>
      <w:pPr>
        <w:pStyle w:val="BodyText"/>
      </w:pPr>
      <w:r>
        <w:t xml:space="preserve">The limits remain: actual city field acceptance and equipment/network</w:t>
      </w:r>
      <w:r>
        <w:t xml:space="preserve"> </w:t>
      </w:r>
      <w:r>
        <w:t xml:space="preserve">commissioning; Station automatic provisioning/SCM commissioning; every</w:t>
      </w:r>
      <w:r>
        <w:t xml:space="preserve"> </w:t>
      </w:r>
      <w:r>
        <w:t xml:space="preserve">UI/role combination; field recognition accuracy; and historical in-place</w:t>
      </w:r>
      <w:r>
        <w:t xml:space="preserve"> </w:t>
      </w:r>
      <w:r>
        <w:t xml:space="preserve">upgrades are not certified. They are not five invented feature</w:t>
      </w:r>
      <w:r>
        <w:t xml:space="preserve"> </w:t>
      </w:r>
      <w:r>
        <w:t xml:space="preserve">requirements. Fresh-install controlled beta handoff remains the accepted</w:t>
      </w:r>
      <w:r>
        <w:t xml:space="preserve"> </w:t>
      </w:r>
      <w:r>
        <w:t xml:space="preserve">scope. This package makes no city-deployment, publication or</w:t>
      </w:r>
      <w:r>
        <w:t xml:space="preserve"> </w:t>
      </w:r>
      <w:r>
        <w:t xml:space="preserve">general-availability claim.</w:t>
      </w:r>
    </w:p>
    <w:bookmarkEnd w:id="69"/>
    <w:bookmarkStart w:id="81" w:name="terms-of-service-and-license"/>
    <w:p>
      <w:pPr>
        <w:pStyle w:val="Heading2"/>
      </w:pPr>
      <w:r>
        <w:t xml:space="preserve">Terms of service and license</w:t>
      </w:r>
    </w:p>
    <w:bookmarkStart w:id="70" w:name="scope-and-status"/>
    <w:p>
      <w:pPr>
        <w:pStyle w:val="Heading3"/>
      </w:pPr>
      <w:r>
        <w:t xml:space="preserve">Scope and status</w:t>
      </w:r>
    </w:p>
    <w:p>
      <w:pPr>
        <w:pStyle w:val="FirstParagraph"/>
      </w:pPr>
      <w:r>
        <w:t xml:space="preserve">These terms describe the Townlight Beta 1 software and this</w:t>
      </w:r>
      <w:r>
        <w:t xml:space="preserve"> </w:t>
      </w:r>
      <w:r>
        <w:t xml:space="preserve">documentation package. This public Windows beta is for evaluation. No uptime commitment, support response time, indemnity,</w:t>
      </w:r>
      <w:r>
        <w:t xml:space="preserve"> </w:t>
      </w:r>
      <w:r>
        <w:t xml:space="preserve">data-processing agreement or paid service is created by these documents.</w:t>
      </w:r>
      <w:r>
        <w:t xml:space="preserve"> </w:t>
      </w:r>
      <w:r>
        <w:t xml:space="preserve">A separate signed agreement, if any, governs services it actually</w:t>
      </w:r>
      <w:r>
        <w:t xml:space="preserve"> </w:t>
      </w:r>
      <w:r>
        <w:t xml:space="preserve">provides.</w:t>
      </w:r>
    </w:p>
    <w:bookmarkEnd w:id="70"/>
    <w:bookmarkStart w:id="73" w:name="software-license-and-rights"/>
    <w:p>
      <w:pPr>
        <w:pStyle w:val="Heading3"/>
      </w:pPr>
      <w:r>
        <w:t xml:space="preserve">Software license and rights</w:t>
      </w:r>
    </w:p>
    <w:p>
      <w:pPr>
        <w:pStyle w:val="FirstParagraph"/>
      </w:pPr>
      <w:r>
        <w:t xml:space="preserve">Current Townlight-owned distributions identified in this candidate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AGPL-3.0-only</w:t>
      </w:r>
      <w:r>
        <w:t xml:space="preserve">. The full license is supplied with</w:t>
      </w:r>
      <w:r>
        <w:t xml:space="preserve"> </w:t>
      </w:r>
      <w:r>
        <w:t xml:space="preserve">this documentation and with the source companion. The license governs</w:t>
      </w:r>
      <w:r>
        <w:t xml:space="preserve"> </w:t>
      </w:r>
      <w:r>
        <w:t xml:space="preserve">rights to run, copy, modify and convey the covered software; these</w:t>
      </w:r>
      <w:r>
        <w:t xml:space="preserve"> </w:t>
      </w:r>
      <w:r>
        <w:t xml:space="preserve">operational terms do not add restrictions to those rights. Historical</w:t>
      </w:r>
      <w:r>
        <w:t xml:space="preserve"> </w:t>
      </w:r>
      <w:r>
        <w:t xml:space="preserve">grants and dependency licenses retain their own terms. CivicCast remains</w:t>
      </w:r>
      <w:r>
        <w:t xml:space="preserve"> </w:t>
      </w:r>
      <w:r>
        <w:t xml:space="preserve">a separate product and is not relicensed by this documentation work.</w:t>
      </w:r>
    </w:p>
    <w:p>
      <w:pPr>
        <w:pStyle w:val="BodyText"/>
      </w:pPr>
      <w:r>
        <w:t xml:space="preserve">When conveying covered software, retain applicable notices and</w:t>
      </w:r>
      <w:r>
        <w:t xml:space="preserve"> </w:t>
      </w:r>
      <w:r>
        <w:t xml:space="preserve">provide the corresponding source and installation/build information</w:t>
      </w:r>
      <w:r>
        <w:t xml:space="preserve"> </w:t>
      </w:r>
      <w:r>
        <w:t xml:space="preserve">required by the license. For a modified version supporting remote</w:t>
      </w:r>
      <w:r>
        <w:t xml:space="preserve"> </w:t>
      </w:r>
      <w:r>
        <w:t xml:space="preserve">network interaction, follow section 13’s source-offer requirement. The</w:t>
      </w:r>
      <w:r>
        <w:t xml:space="preserve"> </w:t>
      </w:r>
      <w:r>
        <w:t xml:space="preserve">companion archive identifies the source for this candidate; a link to a</w:t>
      </w:r>
      <w:r>
        <w:t xml:space="preserve"> </w:t>
      </w:r>
      <w:r>
        <w:t xml:space="preserve">different public branch is not a substitute for the matching source.</w:t>
      </w:r>
      <w:r>
        <w:t xml:space="preserve"> </w:t>
      </w:r>
      <w:r>
        <w:t xml:space="preserve">Read the supplied license for the complete conditions. See the</w:t>
      </w:r>
      <w:r>
        <w:t xml:space="preserve"> </w:t>
      </w:r>
      <w:hyperlink r:id="rId71">
        <w:r>
          <w:rPr>
            <w:rStyle w:val="Hyperlink"/>
          </w:rPr>
          <w:t xml:space="preserve">GNU license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and</w:t>
      </w:r>
      <w:r>
        <w:t xml:space="preserve"> </w:t>
      </w:r>
      <w:hyperlink r:id="rId72">
        <w:r>
          <w:rPr>
            <w:rStyle w:val="Hyperlink"/>
          </w:rPr>
          <w:t xml:space="preserve">GNU licensing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FAQ</w:t>
        </w:r>
      </w:hyperlink>
      <w:r>
        <w:t xml:space="preserve">.</w:t>
      </w:r>
    </w:p>
    <w:bookmarkEnd w:id="73"/>
    <w:bookmarkStart w:id="74" w:name="data-ownership-and-access"/>
    <w:p>
      <w:pPr>
        <w:pStyle w:val="Heading3"/>
      </w:pPr>
      <w:r>
        <w:t xml:space="preserve">Data ownership and access</w:t>
      </w:r>
    </w:p>
    <w:p>
      <w:pPr>
        <w:pStyle w:val="FirstParagraph"/>
      </w:pPr>
      <w:r>
        <w:t xml:space="preserve">Importing a document does not transfer its ownership or grant</w:t>
      </w:r>
      <w:r>
        <w:t xml:space="preserve"> </w:t>
      </w:r>
      <w:r>
        <w:t xml:space="preserve">permission to publish it. The operating organization controls its</w:t>
      </w:r>
      <w:r>
        <w:t xml:space="preserve"> </w:t>
      </w:r>
      <w:r>
        <w:t xml:space="preserve">accounts, access decisions, lawful source use, retention and</w:t>
      </w:r>
      <w:r>
        <w:t xml:space="preserve"> </w:t>
      </w:r>
      <w:r>
        <w:t xml:space="preserve">review/release policy. Keep resident information, credentials, private</w:t>
      </w:r>
      <w:r>
        <w:t xml:space="preserve"> </w:t>
      </w:r>
      <w:r>
        <w:t xml:space="preserve">notes and restricted evidence in their authorized locations.</w:t>
      </w:r>
      <w:r>
        <w:t xml:space="preserve"> </w:t>
      </w:r>
      <w:r>
        <w:t xml:space="preserve">Documentation examples contain fictional data. No real city account,</w:t>
      </w:r>
      <w:r>
        <w:t xml:space="preserve"> </w:t>
      </w:r>
      <w:r>
        <w:t xml:space="preserve">credential or record is required to exercise these examples in an</w:t>
      </w:r>
      <w:r>
        <w:t xml:space="preserve"> </w:t>
      </w:r>
      <w:r>
        <w:t xml:space="preserve">isolated test environment.</w:t>
      </w:r>
    </w:p>
    <w:bookmarkEnd w:id="74"/>
    <w:bookmarkStart w:id="75" w:name="local-operation-and-external-processors"/>
    <w:p>
      <w:pPr>
        <w:pStyle w:val="Heading3"/>
      </w:pPr>
      <w:r>
        <w:t xml:space="preserve">Local operation and</w:t>
      </w:r>
      <w:r>
        <w:t xml:space="preserve"> </w:t>
      </w:r>
      <w:r>
        <w:t xml:space="preserve">external processors</w:t>
      </w:r>
    </w:p>
    <w:p>
      <w:pPr>
        <w:pStyle w:val="FirstParagraph"/>
      </w:pPr>
      <w:r>
        <w:t xml:space="preserve">The accepted beta workflow is local and uses named staff accounts.</w:t>
      </w:r>
      <w:r>
        <w:t xml:space="preserve"> </w:t>
      </w:r>
      <w:r>
        <w:t xml:space="preserve">Station has separate storage and credentials. Configure backup</w:t>
      </w:r>
      <w:r>
        <w:t xml:space="preserve"> </w:t>
      </w:r>
      <w:r>
        <w:t xml:space="preserve">destinations and optional model/network providers deliberately. A</w:t>
      </w:r>
      <w:r>
        <w:t xml:space="preserve"> </w:t>
      </w:r>
      <w:r>
        <w:t xml:space="preserve">configured external provider may receive submitted prompts, images or</w:t>
      </w:r>
      <w:r>
        <w:t xml:space="preserve"> </w:t>
      </w:r>
      <w:r>
        <w:t xml:space="preserve">audio according to that configuration and provider’s terms; this</w:t>
      </w:r>
      <w:r>
        <w:t xml:space="preserve"> </w:t>
      </w:r>
      <w:r>
        <w:t xml:space="preserve">documentation does not promise that every optional configuration is</w:t>
      </w:r>
      <w:r>
        <w:t xml:space="preserve"> </w:t>
      </w:r>
      <w:r>
        <w:t xml:space="preserve">offline. An email outbox or local public view does not establish</w:t>
      </w:r>
      <w:r>
        <w:t xml:space="preserve"> </w:t>
      </w:r>
      <w:r>
        <w:t xml:space="preserve">external delivery or an internet deployment. This static documentation</w:t>
      </w:r>
      <w:r>
        <w:t xml:space="preserve"> </w:t>
      </w:r>
      <w:r>
        <w:t xml:space="preserve">site has no analytics, account collection or remote font dependency.</w:t>
      </w:r>
    </w:p>
    <w:bookmarkEnd w:id="75"/>
    <w:bookmarkStart w:id="76" w:name="staff-decisions-and-source-applicability"/>
    <w:p>
      <w:pPr>
        <w:pStyle w:val="Heading3"/>
      </w:pPr>
      <w:r>
        <w:t xml:space="preserve">Staff decisions and</w:t>
      </w:r>
      <w:r>
        <w:t xml:space="preserve"> </w:t>
      </w:r>
      <w:r>
        <w:t xml:space="preserve">source applicability</w:t>
      </w:r>
    </w:p>
    <w:p>
      <w:pPr>
        <w:pStyle w:val="FirstParagraph"/>
      </w:pPr>
      <w:r>
        <w:t xml:space="preserve">Staff verify the jurisdiction, source currency, permissions,</w:t>
      </w:r>
      <w:r>
        <w:t xml:space="preserve"> </w:t>
      </w:r>
      <w:r>
        <w:t xml:space="preserve">citations and proposed audience. Model output and generated guidance</w:t>
      </w:r>
      <w:r>
        <w:t xml:space="preserve"> </w:t>
      </w:r>
      <w:r>
        <w:t xml:space="preserve">require review. No draft is automatically an official legal</w:t>
      </w:r>
      <w:r>
        <w:t xml:space="preserve"> </w:t>
      </w:r>
      <w:r>
        <w:t xml:space="preserve">interpretation, zoning determination, permit approval, fee assessment,</w:t>
      </w:r>
      <w:r>
        <w:t xml:space="preserve"> </w:t>
      </w:r>
      <w:r>
        <w:t xml:space="preserve">enforcement notice or records-release decision. Official permit fee</w:t>
      </w:r>
      <w:r>
        <w:t xml:space="preserve"> </w:t>
      </w:r>
      <w:r>
        <w:t xml:space="preserve">authority remains with the adopted source and responsible organization;</w:t>
      </w:r>
      <w:r>
        <w:t xml:space="preserve"> </w:t>
      </w:r>
      <w:r>
        <w:t xml:space="preserve">imported amounts do not become a new authoritative calculation.</w:t>
      </w:r>
    </w:p>
    <w:bookmarkEnd w:id="76"/>
    <w:bookmarkStart w:id="77" w:name="beta-operation-and-recovery"/>
    <w:p>
      <w:pPr>
        <w:pStyle w:val="Heading3"/>
      </w:pPr>
      <w:r>
        <w:t xml:space="preserve">Beta operation and recovery</w:t>
      </w:r>
    </w:p>
    <w:p>
      <w:pPr>
        <w:pStyle w:val="FirstParagraph"/>
      </w:pPr>
      <w:r>
        <w:t xml:space="preserve">Use the identified candidate in its supported fresh-install scope.</w:t>
      </w:r>
      <w:r>
        <w:t xml:space="preserve"> </w:t>
      </w:r>
      <w:r>
        <w:t xml:space="preserve">Preserve backups and original evidence. Test physical equipment and</w:t>
      </w:r>
      <w:r>
        <w:t xml:space="preserve"> </w:t>
      </w:r>
      <w:r>
        <w:t xml:space="preserve">chosen network/service configuration before relying on them. The</w:t>
      </w:r>
      <w:r>
        <w:t xml:space="preserve"> </w:t>
      </w:r>
      <w:r>
        <w:t xml:space="preserve">supplied acceptance describes selected synthetic workflows, not every</w:t>
      </w:r>
      <w:r>
        <w:t xml:space="preserve"> </w:t>
      </w:r>
      <w:r>
        <w:t xml:space="preserve">screen, vendor, field condition or upgrade. Operators decide whether a</w:t>
      </w:r>
      <w:r>
        <w:t xml:space="preserve"> </w:t>
      </w:r>
      <w:r>
        <w:t xml:space="preserve">particular deployment meets their own operational obligations.</w:t>
      </w:r>
    </w:p>
    <w:bookmarkEnd w:id="77"/>
    <w:bookmarkStart w:id="78" w:name="warranty-and-liability"/>
    <w:p>
      <w:pPr>
        <w:pStyle w:val="Heading3"/>
      </w:pPr>
      <w:r>
        <w:t xml:space="preserve">Warranty and liability</w:t>
      </w:r>
    </w:p>
    <w:p>
      <w:pPr>
        <w:pStyle w:val="FirstParagraph"/>
      </w:pPr>
      <w:r>
        <w:t xml:space="preserve">The covered software’s warranty and liability conditions are those in</w:t>
      </w:r>
      <w:r>
        <w:t xml:space="preserve"> </w:t>
      </w:r>
      <w:r>
        <w:t xml:space="preserve">sections 15–17 of the supplied AGPL and any applicable separate written</w:t>
      </w:r>
      <w:r>
        <w:t xml:space="preserve"> </w:t>
      </w:r>
      <w:r>
        <w:t xml:space="preserve">undertaking. This documentation creates no additional warranty or</w:t>
      </w:r>
      <w:r>
        <w:t xml:space="preserve"> </w:t>
      </w:r>
      <w:r>
        <w:t xml:space="preserve">limitation beyond those terms. Third-party software is subject to its</w:t>
      </w:r>
      <w:r>
        <w:t xml:space="preserve"> </w:t>
      </w:r>
      <w:r>
        <w:t xml:space="preserve">retained license notices. Nothing here removes rights that applicable</w:t>
      </w:r>
      <w:r>
        <w:t xml:space="preserve"> </w:t>
      </w:r>
      <w:r>
        <w:t xml:space="preserve">law makes nonwaivable.</w:t>
      </w:r>
    </w:p>
    <w:bookmarkEnd w:id="78"/>
    <w:bookmarkStart w:id="79" w:name="support-and-incident-reporting"/>
    <w:p>
      <w:pPr>
        <w:pStyle w:val="Heading3"/>
      </w:pPr>
      <w:r>
        <w:t xml:space="preserve">Support and incident</w:t>
      </w:r>
      <w:r>
        <w:t xml:space="preserve"> </w:t>
      </w:r>
      <w:r>
        <w:t xml:space="preserve">reporting</w:t>
      </w:r>
    </w:p>
    <w:p>
      <w:pPr>
        <w:pStyle w:val="FirstParagraph"/>
      </w:pPr>
      <w:r>
        <w:t xml:space="preserve">Use the project’s existing SUPPORT and SECURITY guidance for its</w:t>
      </w:r>
      <w:r>
        <w:t xml:space="preserve"> </w:t>
      </w:r>
      <w:r>
        <w:t xml:space="preserve">matching repository. Report reproducible behavior with the version,</w:t>
      </w:r>
      <w:r>
        <w:t xml:space="preserve"> </w:t>
      </w:r>
      <w:r>
        <w:t xml:space="preserve">operation and redacted logs. Do not put credentials, resident records or</w:t>
      </w:r>
      <w:r>
        <w:t xml:space="preserve"> </w:t>
      </w:r>
      <w:r>
        <w:t xml:space="preserve">unredacted evidence in a public issue. Coordinate sensitive reports</w:t>
      </w:r>
      <w:r>
        <w:t xml:space="preserve"> </w:t>
      </w:r>
      <w:r>
        <w:t xml:space="preserve">through the channel designated in SECURITY. No new support address or</w:t>
      </w:r>
      <w:r>
        <w:t xml:space="preserve"> </w:t>
      </w:r>
      <w:r>
        <w:t xml:space="preserve">service commitment is invented here.</w:t>
      </w:r>
    </w:p>
    <w:bookmarkEnd w:id="79"/>
    <w:bookmarkStart w:id="80" w:name="X31f05bddf6aa9d1ff47b7e67ed4759e27e0b8e9"/>
    <w:p>
      <w:pPr>
        <w:pStyle w:val="Heading3"/>
      </w:pPr>
      <w:r>
        <w:t xml:space="preserve">Ending a beta</w:t>
      </w:r>
      <w:r>
        <w:t xml:space="preserve"> </w:t>
      </w:r>
      <w:r>
        <w:t xml:space="preserve">exercise and document changes</w:t>
      </w:r>
    </w:p>
    <w:p>
      <w:pPr>
        <w:pStyle w:val="FirstParagraph"/>
      </w:pPr>
      <w:r>
        <w:t xml:space="preserve">When an organization ends testing, it controls retention/export and</w:t>
      </w:r>
      <w:r>
        <w:t xml:space="preserve"> </w:t>
      </w:r>
      <w:r>
        <w:t xml:space="preserve">removes access according to its policy. Uninstall may retain data; back</w:t>
      </w:r>
      <w:r>
        <w:t xml:space="preserve"> </w:t>
      </w:r>
      <w:r>
        <w:t xml:space="preserve">up and inspect the selected removal options. Ending an exercise does not</w:t>
      </w:r>
      <w:r>
        <w:t xml:space="preserve"> </w:t>
      </w:r>
      <w:r>
        <w:t xml:space="preserve">revoke rights already granted by AGPL. Later software/documentation</w:t>
      </w:r>
      <w:r>
        <w:t xml:space="preserve"> </w:t>
      </w:r>
      <w:r>
        <w:t xml:space="preserve">versions must identify their changed candidate and scope; historical</w:t>
      </w:r>
      <w:r>
        <w:t xml:space="preserve"> </w:t>
      </w:r>
      <w:r>
        <w:t xml:space="preserve">receipts retain their original identities. These terms do not claim that</w:t>
      </w:r>
      <w:r>
        <w:t xml:space="preserve"> </w:t>
      </w:r>
      <w:r>
        <w:t xml:space="preserve">a city has accepted a contract merely by reading a manual.</w:t>
      </w:r>
    </w:p>
    <w:bookmarkEnd w:id="80"/>
    <w:bookmarkEnd w:id="81"/>
    <w:bookmarkStart w:id="82" w:name="glossary"/>
    <w:p>
      <w:pPr>
        <w:pStyle w:val="Heading2"/>
      </w:pPr>
      <w: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An explicit authorized decision on the saved text/artifact. It is</w:t>
            </w:r>
            <w:r>
              <w:t xml:space="preserve"> </w:t>
            </w:r>
            <w:r>
              <w:t xml:space="preserve">separate from saving or attachment.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record</w:t>
            </w:r>
          </w:p>
        </w:tc>
        <w:tc>
          <w:tcPr/>
          <w:p>
            <w:pPr>
              <w:pStyle w:val="Compact"/>
            </w:pPr>
            <w:r>
              <w:t xml:space="preserve">The owning product’s retained identity and saved version, rather</w:t>
            </w:r>
            <w:r>
              <w:t xml:space="preserve"> </w:t>
            </w:r>
            <w:r>
              <w:t xml:space="preserve">than an editable copied label.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Composition</w:t>
            </w:r>
          </w:p>
        </w:tc>
        <w:tc>
          <w:tcPr/>
          <w:p>
            <w:pPr>
              <w:pStyle w:val="Compact"/>
            </w:pPr>
            <w:r>
              <w:t xml:space="preserve">The selected set of desktop modules; inspections-preview exposes the</w:t>
            </w:r>
            <w:r>
              <w:t xml:space="preserve"> </w:t>
            </w:r>
            <w:r>
              <w:t xml:space="preserve">eight staff products.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Corresponding source</w:t>
            </w:r>
          </w:p>
        </w:tc>
        <w:tc>
          <w:tcPr/>
          <w:p>
            <w:pPr>
              <w:pStyle w:val="Compact"/>
            </w:pPr>
            <w:r>
              <w:t xml:space="preserve">The source/build material matching the delivered covered program,</w:t>
            </w:r>
            <w:r>
              <w:t xml:space="preserve"> </w:t>
            </w:r>
            <w:r>
              <w:t xml:space="preserve">subject to its license.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Derivative / Records copy</w:t>
            </w:r>
          </w:p>
        </w:tc>
        <w:tc>
          <w:tcPr/>
          <w:p>
            <w:pPr>
              <w:pStyle w:val="Compact"/>
            </w:pPr>
            <w:r>
              <w:t xml:space="preserve">A separately prepared document with its own intended audience and</w:t>
            </w:r>
            <w:r>
              <w:t xml:space="preserve"> </w:t>
            </w:r>
            <w:r>
              <w:t xml:space="preserve">hash.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 / SHA256</w:t>
            </w:r>
          </w:p>
        </w:tc>
        <w:tc>
          <w:tcPr/>
          <w:p>
            <w:pPr>
              <w:pStyle w:val="Compact"/>
            </w:pPr>
            <w:r>
              <w:t xml:space="preserve">A fingerprint of exact bytes. It detects change; it does not</w:t>
            </w:r>
            <w:r>
              <w:t xml:space="preserve"> </w:t>
            </w:r>
            <w:r>
              <w:t xml:space="preserve">establish legal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Idempotency</w:t>
            </w:r>
          </w:p>
        </w:tc>
        <w:tc>
          <w:tcPr/>
          <w:p>
            <w:pPr>
              <w:pStyle w:val="Compact"/>
            </w:pPr>
            <w:r>
              <w:t xml:space="preserve">Repeating the same identified request has the same intended effect;</w:t>
            </w:r>
            <w:r>
              <w:t xml:space="preserve"> </w:t>
            </w:r>
            <w:r>
              <w:t xml:space="preserve">changing its payload can be refused.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IPC</w:t>
            </w:r>
          </w:p>
        </w:tc>
        <w:tc>
          <w:tcPr/>
          <w:p>
            <w:pPr>
              <w:pStyle w:val="Compact"/>
            </w:pPr>
            <w:r>
              <w:t xml:space="preserve">The native desktop command boundary between its browser interface</w:t>
            </w:r>
            <w:r>
              <w:t xml:space="preserve"> </w:t>
            </w:r>
            <w:r>
              <w:t xml:space="preserve">and Rust host.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MCP</w:t>
            </w:r>
          </w:p>
        </w:tc>
        <w:tc>
          <w:tcPr/>
          <w:p>
            <w:pPr>
              <w:pStyle w:val="Compact"/>
            </w:pPr>
            <w:r>
              <w:t xml:space="preserve">Model Context Protocol; no direct Townlight product server is</w:t>
            </w:r>
            <w:r>
              <w:t xml:space="preserve"> </w:t>
            </w:r>
            <w:r>
              <w:t xml:space="preserve">enabled by this beta.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Original</w:t>
            </w:r>
          </w:p>
        </w:tc>
        <w:tc>
          <w:tcPr/>
          <w:p>
            <w:pPr>
              <w:pStyle w:val="Compact"/>
            </w:pPr>
            <w:r>
              <w:t xml:space="preserve">Retained source bytes. A reviewed derivative does not replace</w:t>
            </w:r>
            <w:r>
              <w:t xml:space="preserve"> </w:t>
            </w:r>
            <w:r>
              <w:t xml:space="preserve">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Source, version, date, actor and relationship information retained</w:t>
            </w:r>
            <w:r>
              <w:t xml:space="preserve"> </w:t>
            </w:r>
            <w:r>
              <w:t xml:space="preserve">with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Revision</w:t>
            </w:r>
          </w:p>
        </w:tc>
        <w:tc>
          <w:tcPr/>
          <w:p>
            <w:pPr>
              <w:pStyle w:val="Compact"/>
            </w:pPr>
            <w:r>
              <w:t xml:space="preserve">An immutable saved version. Later edits do not inherit an earlier</w:t>
            </w:r>
            <w:r>
              <w:t xml:space="preserve"> </w:t>
            </w:r>
            <w:r>
              <w:t xml:space="preserve">review automatically.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Snapshot</w:t>
            </w:r>
          </w:p>
        </w:tc>
        <w:tc>
          <w:tcPr/>
          <w:p>
            <w:pPr>
              <w:pStyle w:val="Compact"/>
            </w:pPr>
            <w:r>
              <w:t xml:space="preserve">A fixed audience-specific copy tied to a source/reviewed</w:t>
            </w:r>
            <w:r>
              <w:t xml:space="preserve"> </w:t>
            </w:r>
            <w:r>
              <w:t xml:space="preserve">revision.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Townlight’s separate media boundary using a pinned CivicCast-derived</w:t>
            </w:r>
            <w:r>
              <w:t xml:space="preserve"> </w:t>
            </w:r>
            <w:r>
              <w:t xml:space="preserve">engine; standalone CivicCast remains separate.</w:t>
            </w:r>
          </w:p>
        </w:tc>
      </w:tr>
    </w:tbl>
    <w:bookmarkEnd w:id="82"/>
    <w:bookmarkStart w:id="84" w:name="alphabetical-subject-index"/>
    <w:p>
      <w:pPr>
        <w:pStyle w:val="Heading2"/>
      </w:pPr>
      <w:r>
        <w:t xml:space="preserve">Alphabetical subject index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Accounts and authentication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AGPL and source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API contracts</w:t>
      </w:r>
      <w:r>
        <w:t xml:space="preserve"> </w:t>
      </w:r>
      <w:r>
        <w:t xml:space="preserve">—</w:t>
      </w:r>
      <w:r>
        <w:t xml:space="preserve"> </w:t>
      </w: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Architecture</w:t>
      </w:r>
      <w:r>
        <w:t xml:space="preserve"> </w:t>
      </w:r>
      <w:r>
        <w:t xml:space="preserve">—</w:t>
      </w:r>
      <w:r>
        <w:t xml:space="preserve"> </w:t>
      </w:r>
      <w:hyperlink w:anchor="architecture">
        <w:r>
          <w:rPr>
            <w:rStyle w:val="Hyperlink"/>
          </w:rPr>
          <w:t xml:space="preserve">Architecture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Backup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Beta version</w:t>
      </w:r>
      <w:r>
        <w:t xml:space="preserve"> </w:t>
      </w:r>
      <w:r>
        <w:t xml:space="preserve">—</w:t>
      </w:r>
      <w:r>
        <w:t xml:space="preserve"> </w:t>
      </w: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Evidence and acceptance</w:t>
      </w:r>
      <w:r>
        <w:t xml:space="preserve"> </w:t>
      </w:r>
      <w:r>
        <w:t xml:space="preserve">—</w:t>
      </w:r>
      <w:r>
        <w:t xml:space="preserve"> </w:t>
      </w: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Fees and official decisions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First run</w:t>
      </w:r>
      <w:r>
        <w:t xml:space="preserve"> </w:t>
      </w:r>
      <w:r>
        <w:t xml:space="preserve">—</w:t>
      </w:r>
      <w:r>
        <w:t xml:space="preserve"> </w:t>
      </w:r>
      <w:hyperlink w:anchor="first-run">
        <w:r>
          <w:rPr>
            <w:rStyle w:val="Hyperlink"/>
          </w:rPr>
          <w:t xml:space="preserve">First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run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Handoffs and audience</w:t>
      </w:r>
      <w:r>
        <w:t xml:space="preserve"> </w:t>
      </w:r>
      <w:r>
        <w:t xml:space="preserve">—</w:t>
      </w:r>
      <w:r>
        <w:t xml:space="preserve"> </w:t>
      </w:r>
      <w:hyperlink w:anchor="connected-workflows">
        <w:r>
          <w:rPr>
            <w:rStyle w:val="Hyperlink"/>
          </w:rPr>
          <w:t xml:space="preserve">Connected workflows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MCP</w:t>
      </w:r>
      <w:r>
        <w:t xml:space="preserve"> </w:t>
      </w:r>
      <w:r>
        <w:t xml:space="preserve">—</w:t>
      </w:r>
      <w:r>
        <w:t xml:space="preserve"> </w:t>
      </w:r>
      <w:hyperlink w:anchor="mcp-and-automation-boundary">
        <w:r>
          <w:rPr>
            <w:rStyle w:val="Hyperlink"/>
          </w:rPr>
          <w:t xml:space="preserve">MCP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automation boundary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Originals and provenance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Recovery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Staff procedures</w:t>
      </w:r>
      <w:r>
        <w:t xml:space="preserve"> </w:t>
      </w:r>
      <w:r>
        <w:t xml:space="preserve">—</w:t>
      </w:r>
      <w:r>
        <w:t xml:space="preserve"> </w:t>
      </w: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Station 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Technical stack</w:t>
      </w:r>
      <w:r>
        <w:t xml:space="preserve"> </w:t>
      </w:r>
      <w:r>
        <w:t xml:space="preserve">—</w:t>
      </w:r>
      <w:r>
        <w:t xml:space="preserve"> </w:t>
      </w:r>
      <w:hyperlink w:anchor="technical-specifications">
        <w:r>
          <w:rPr>
            <w:rStyle w:val="Hyperlink"/>
          </w:rPr>
          <w:t xml:space="preserve">Technical specifications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Troubleshooting</w:t>
      </w:r>
      <w:r>
        <w:t xml:space="preserve"> </w:t>
      </w:r>
      <w:r>
        <w:t xml:space="preserve">—</w:t>
      </w:r>
      <w:r>
        <w:t xml:space="preserve"> </w:t>
      </w:r>
      <w:hyperlink w:anchor="troubleshooting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Start w:id="83" w:name="operating-subject-links"/>
    <w:p>
      <w:pPr>
        <w:pStyle w:val="Heading3"/>
      </w:pPr>
      <w:r>
        <w:t xml:space="preserve">Operating subject links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Describe a project and read source grounded</w:t>
      </w:r>
      <w:r>
        <w:rPr>
          <w:b/>
          <w:bCs/>
        </w:rPr>
        <w:t xml:space="preserve"> </w:t>
      </w:r>
      <w:r>
        <w:rPr>
          <w:b/>
          <w:bCs/>
        </w:rPr>
        <w:t xml:space="preserve">guidance</w:t>
      </w:r>
      <w:r>
        <w:t xml:space="preserve"> </w:t>
      </w:r>
      <w:r>
        <w:t xml:space="preserve">—</w:t>
      </w:r>
      <w:r>
        <w:t xml:space="preserve"> </w:t>
      </w:r>
      <w:hyperlink w:anchor="X9136de5dddd8df2a0eb91eb17dfa2bb8e3e081a">
        <w:r>
          <w:rPr>
            <w:rStyle w:val="Hyperlink"/>
          </w:rPr>
          <w:t xml:space="preserve">Describe 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project and read source grounded guidance</w:t>
        </w:r>
      </w:hyperlink>
      <w:r>
        <w:t xml:space="preserve">.</w:t>
      </w:r>
    </w:p>
    <w:bookmarkEnd w:id="83"/>
    <w:bookmarkEnd w:id="84"/>
    <w:bookmarkStart w:id="90" w:name="source-and-document-control"/>
    <w:p>
      <w:pPr>
        <w:pStyle w:val="Heading2"/>
      </w:pPr>
      <w:r>
        <w:t xml:space="preserve">Source and document control</w:t>
      </w:r>
    </w:p>
    <w:p>
      <w:pPr>
        <w:pStyle w:val="FirstParagraph"/>
      </w:pPr>
      <w:r>
        <w:t xml:space="preserve">This edition is authored from the immutable corresponding-source</w:t>
      </w:r>
      <w:r>
        <w:t xml:space="preserve"> </w:t>
      </w:r>
      <w:r>
        <w:t xml:space="preserve">companion, the generated installed-domain schema and the retained</w:t>
      </w:r>
      <w:r>
        <w:t xml:space="preserve"> </w:t>
      </w:r>
      <w:r>
        <w:t xml:space="preserve">workflow receipts. The current software versions and signed artifacts</w:t>
      </w:r>
      <w:r>
        <w:t xml:space="preserve"> </w:t>
      </w:r>
      <w:r>
        <w:t xml:space="preserve">are unchanged. Public historical pages are not synchronized or published</w:t>
      </w:r>
      <w:r>
        <w:t xml:space="preserve"> </w:t>
      </w:r>
      <w:r>
        <w:t xml:space="preserve">by this local documentation task.</w:t>
      </w:r>
    </w:p>
    <w:bookmarkStart w:id="89" w:name="workflow-subject-index"/>
    <w:p>
      <w:pPr>
        <w:pStyle w:val="Heading3"/>
      </w:pPr>
      <w:r>
        <w:t xml:space="preserve">Workflow subject index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Attach and verify</w:t>
      </w:r>
      <w:r>
        <w:t xml:space="preserve"> </w:t>
      </w:r>
      <w:r>
        <w:t xml:space="preserve">—</w:t>
      </w:r>
      <w:r>
        <w:t xml:space="preserve"> </w:t>
      </w:r>
      <w:hyperlink w:anchor="workflow-7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7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Import requirements</w:t>
      </w:r>
      <w:r>
        <w:t xml:space="preserve"> </w:t>
      </w:r>
      <w:r>
        <w:t xml:space="preserve">—</w:t>
      </w:r>
      <w:r>
        <w:t xml:space="preserve"> </w:t>
      </w:r>
      <w:hyperlink w:anchor="workflow-1">
        <w:r>
          <w:rPr>
            <w:rStyle w:val="Hyperlink"/>
          </w:rPr>
          <w:t xml:space="preserve">Daily workflow, step 1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Inspect each audience</w:t>
      </w:r>
      <w:r>
        <w:t xml:space="preserve"> </w:t>
      </w:r>
      <w:r>
        <w:t xml:space="preserve">—</w:t>
      </w:r>
      <w:r>
        <w:t xml:space="preserve"> </w:t>
      </w:r>
      <w:hyperlink w:anchor="workflow-6">
        <w:r>
          <w:rPr>
            <w:rStyle w:val="Hyperlink"/>
          </w:rPr>
          <w:t xml:space="preserve">Daily workflow, step 6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Prepare intake</w:t>
      </w:r>
      <w:r>
        <w:t xml:space="preserve"> </w:t>
      </w:r>
      <w:r>
        <w:t xml:space="preserve">—</w:t>
      </w:r>
      <w:r>
        <w:t xml:space="preserve"> </w:t>
      </w:r>
      <w:hyperlink w:anchor="workflow-3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3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Read pathway guidance</w:t>
      </w:r>
      <w:r>
        <w:t xml:space="preserve"> </w:t>
      </w:r>
      <w:r>
        <w:t xml:space="preserve">—</w:t>
      </w:r>
      <w:r>
        <w:t xml:space="preserve"> </w:t>
      </w:r>
      <w:hyperlink w:anchor="workflow-2">
        <w:r>
          <w:rPr>
            <w:rStyle w:val="Hyperlink"/>
          </w:rPr>
          <w:t xml:space="preserve">Daily workflow, step 2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Save and review</w:t>
      </w:r>
      <w:r>
        <w:t xml:space="preserve"> </w:t>
      </w:r>
      <w:r>
        <w:t xml:space="preserve">—</w:t>
      </w:r>
      <w:r>
        <w:t xml:space="preserve"> </w:t>
      </w:r>
      <w:hyperlink w:anchor="workflow-5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5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Select cited context</w:t>
      </w:r>
      <w:r>
        <w:t xml:space="preserve"> </w:t>
      </w:r>
      <w:r>
        <w:t xml:space="preserve">—</w:t>
      </w:r>
      <w:r>
        <w:t xml:space="preserve"> </w:t>
      </w:r>
      <w:hyperlink w:anchor="workflow-4">
        <w:r>
          <w:rPr>
            <w:rStyle w:val="Hyperlink"/>
          </w:rPr>
          <w:t xml:space="preserve">Daily workflow, step 4</w:t>
        </w:r>
      </w:hyperlink>
      <w:r>
        <w:t xml:space="preserve">.</w:t>
      </w:r>
    </w:p>
    <w:p>
      <w:pPr>
        <w:numPr>
          <w:ilvl w:val="0"/>
          <w:numId w:val="1008"/>
        </w:numPr>
      </w:pPr>
      <w:hyperlink r:id="rId85">
        <w:r>
          <w:rPr>
            <w:rStyle w:val="Hyperlink"/>
          </w:rPr>
          <w:t xml:space="preserve">Source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inventory and file hashes</w:t>
        </w:r>
      </w:hyperlink>
    </w:p>
    <w:p>
      <w:pPr>
        <w:numPr>
          <w:ilvl w:val="0"/>
          <w:numId w:val="1008"/>
        </w:numPr>
      </w:pPr>
      <w:hyperlink r:id="rId43">
        <w:r>
          <w:rPr>
            <w:rStyle w:val="Hyperlink"/>
          </w:rPr>
          <w:t xml:space="preserve">All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component metadata</w:t>
        </w:r>
      </w:hyperlink>
    </w:p>
    <w:p>
      <w:pPr>
        <w:numPr>
          <w:ilvl w:val="0"/>
          <w:numId w:val="1008"/>
        </w:numPr>
      </w:pPr>
      <w:hyperlink r:id="rId86">
        <w:r>
          <w:rPr>
            <w:rStyle w:val="Hyperlink"/>
          </w:rPr>
          <w:t xml:space="preserve">Installed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domain OpenAPI</w:t>
        </w:r>
      </w:hyperlink>
    </w:p>
    <w:p>
      <w:pPr>
        <w:numPr>
          <w:ilvl w:val="0"/>
          <w:numId w:val="1008"/>
        </w:numPr>
      </w:pPr>
      <w:hyperlink r:id="rId87">
        <w:r>
          <w:rPr>
            <w:rStyle w:val="Hyperlink"/>
          </w:rPr>
          <w:t xml:space="preserve">Workflow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matrix</w:t>
        </w:r>
      </w:hyperlink>
    </w:p>
    <w:p>
      <w:pPr>
        <w:numPr>
          <w:ilvl w:val="0"/>
          <w:numId w:val="1008"/>
        </w:numPr>
      </w:pPr>
      <w:hyperlink r:id="rId88">
        <w:r>
          <w:rPr>
            <w:rStyle w:val="Hyperlink"/>
          </w:rPr>
          <w:t xml:space="preserve">Full AGPL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text</w:t>
        </w:r>
      </w:hyperlink>
    </w:p>
    <w:bookmarkEnd w:id="89"/>
    <w:bookmarkEnd w:id="90"/>
    <w:bookmarkEnd w:id="9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4" Target="media/rId34.png" /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58" Target="https://townlight.github.io/api/permitting-openapi.json" TargetMode="External" /><Relationship Type="http://schemas.openxmlformats.org/officeDocument/2006/relationships/hyperlink" Id="rId57" Target="https://townlight.github.io/api/permitting.html" TargetMode="External" /><Relationship Type="http://schemas.openxmlformats.org/officeDocument/2006/relationships/hyperlink" Id="rId88" Target="https://townlight.github.io/reference/AGPL-3.0.txt" TargetMode="External" /><Relationship Type="http://schemas.openxmlformats.org/officeDocument/2006/relationships/hyperlink" Id="rId43" Target="https://townlight.github.io/reference/component-metadata.json" TargetMode="External" /><Relationship Type="http://schemas.openxmlformats.org/officeDocument/2006/relationships/hyperlink" Id="rId86" Target="https://townlight.github.io/reference/desktop-domain-openapi.json" TargetMode="External" /><Relationship Type="http://schemas.openxmlformats.org/officeDocument/2006/relationships/hyperlink" Id="rId53" Target="https://townlight.github.io/reference/examples/synthetic-requirement-bundle.json" TargetMode="External" /><Relationship Type="http://schemas.openxmlformats.org/officeDocument/2006/relationships/hyperlink" Id="rId59" Target="https://townlight.github.io/reference/index.html" TargetMode="External" /><Relationship Type="http://schemas.openxmlformats.org/officeDocument/2006/relationships/hyperlink" Id="rId63" Target="https://townlight.github.io/reference/mcp.html" TargetMode="External" /><Relationship Type="http://schemas.openxmlformats.org/officeDocument/2006/relationships/hyperlink" Id="rId42" Target="https://townlight.github.io/reference/runtime-payload-lock.json" TargetMode="External" /><Relationship Type="http://schemas.openxmlformats.org/officeDocument/2006/relationships/hyperlink" Id="rId68" Target="https://townlight.github.io/reference/sandbox-evidence-index.json" TargetMode="External" /><Relationship Type="http://schemas.openxmlformats.org/officeDocument/2006/relationships/hyperlink" Id="rId85" Target="https://townlight.github.io/reference/source-inventory.json" TargetMode="External" /><Relationship Type="http://schemas.openxmlformats.org/officeDocument/2006/relationships/hyperlink" Id="rId87" Target="https://townlight.github.io/reference/workflow-matrix.json" TargetMode="External" /><Relationship Type="http://schemas.openxmlformats.org/officeDocument/2006/relationships/hyperlink" Id="rId71" Target="https://www.gnu.org/licenses/agpl-3.0.html" TargetMode="External" /><Relationship Type="http://schemas.openxmlformats.org/officeDocument/2006/relationships/hyperlink" Id="rId72" Target="https://www.gnu.org/licenses/gpl-faq.e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58" Target="https://townlight.github.io/api/permitting-openapi.json" TargetMode="External" /><Relationship Type="http://schemas.openxmlformats.org/officeDocument/2006/relationships/hyperlink" Id="rId57" Target="https://townlight.github.io/api/permitting.html" TargetMode="External" /><Relationship Type="http://schemas.openxmlformats.org/officeDocument/2006/relationships/hyperlink" Id="rId88" Target="https://townlight.github.io/reference/AGPL-3.0.txt" TargetMode="External" /><Relationship Type="http://schemas.openxmlformats.org/officeDocument/2006/relationships/hyperlink" Id="rId43" Target="https://townlight.github.io/reference/component-metadata.json" TargetMode="External" /><Relationship Type="http://schemas.openxmlformats.org/officeDocument/2006/relationships/hyperlink" Id="rId86" Target="https://townlight.github.io/reference/desktop-domain-openapi.json" TargetMode="External" /><Relationship Type="http://schemas.openxmlformats.org/officeDocument/2006/relationships/hyperlink" Id="rId53" Target="https://townlight.github.io/reference/examples/synthetic-requirement-bundle.json" TargetMode="External" /><Relationship Type="http://schemas.openxmlformats.org/officeDocument/2006/relationships/hyperlink" Id="rId59" Target="https://townlight.github.io/reference/index.html" TargetMode="External" /><Relationship Type="http://schemas.openxmlformats.org/officeDocument/2006/relationships/hyperlink" Id="rId63" Target="https://townlight.github.io/reference/mcp.html" TargetMode="External" /><Relationship Type="http://schemas.openxmlformats.org/officeDocument/2006/relationships/hyperlink" Id="rId42" Target="https://townlight.github.io/reference/runtime-payload-lock.json" TargetMode="External" /><Relationship Type="http://schemas.openxmlformats.org/officeDocument/2006/relationships/hyperlink" Id="rId68" Target="https://townlight.github.io/reference/sandbox-evidence-index.json" TargetMode="External" /><Relationship Type="http://schemas.openxmlformats.org/officeDocument/2006/relationships/hyperlink" Id="rId85" Target="https://townlight.github.io/reference/source-inventory.json" TargetMode="External" /><Relationship Type="http://schemas.openxmlformats.org/officeDocument/2006/relationships/hyperlink" Id="rId87" Target="https://townlight.github.io/reference/workflow-matrix.json" TargetMode="External" /><Relationship Type="http://schemas.openxmlformats.org/officeDocument/2006/relationships/hyperlink" Id="rId71" Target="https://www.gnu.org/licenses/agpl-3.0.html" TargetMode="External" /><Relationship Type="http://schemas.openxmlformats.org/officeDocument/2006/relationships/hyperlink" Id="rId72" Target="https://www.gnu.org/licenses/gpl-faq.e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Townlight Permitting Manual</dc:title>
  <dc:creator/>
  <cp:keywords/>
  <dcterms:created xsi:type="dcterms:W3CDTF">2026-11-04T06:03:17Z</dcterms:created>
  <dcterms:modified xsi:type="dcterms:W3CDTF">2026-11-04T06:03:17Z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