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Townlight Notice Manual</w:t>
      </w:r>
    </w:p>
    <w:p>
      <w:pPr>
        <w:pStyle w:val="FirstParagraph"/>
      </w:pPr>
      <w:r>
        <w:t xml:space="preserve">Windows x64 Beta 1 · MSI 1.7.0.1</w:t>
      </w:r>
    </w:p>
    <w:p>
      <w:pPr>
        <w:pStyle w:val="BodyText"/>
      </w:pPr>
      <w:r>
        <w:t xml:space="preserve">The signed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passed the documented fresh Windows Sandbox checks with synthetic data.</w:t>
      </w:r>
    </w:p>
    <w:p>
      <w:pPr>
        <w:pStyle w:val="Compact"/>
        <w:numPr>
          <w:ilvl w:val="0"/>
          <w:numId w:val="1001"/>
        </w:numPr>
      </w:pPr>
      <w:hyperlink w:anchor="townlight-notice-user-manual">
        <w:r>
          <w:rPr>
            <w:rStyle w:val="Hyperlink"/>
          </w:rPr>
          <w:t xml:space="preserve">Townlight Notice User Manual</w:t>
        </w:r>
      </w:hyperlink>
    </w:p>
    <w:p>
      <w:pPr>
        <w:pStyle w:val="Compact"/>
        <w:numPr>
          <w:ilvl w:val="1"/>
          <w:numId w:val="1002"/>
        </w:numPr>
      </w:pPr>
      <w:hyperlink w:anchor="windows-staff-workflow-0.3.0-candidate">
        <w:r>
          <w:rPr>
            <w:rStyle w:val="Hyperlink"/>
          </w:rPr>
          <w:t xml:space="preserve">Windows staff workflow —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0.3.0</w:t>
        </w:r>
      </w:hyperlink>
    </w:p>
    <w:p>
      <w:pPr>
        <w:pStyle w:val="Compact"/>
        <w:numPr>
          <w:ilvl w:val="1"/>
          <w:numId w:val="1002"/>
        </w:numPr>
      </w:pPr>
      <w:hyperlink w:anchor="standalone-package-boundary">
        <w:r>
          <w:rPr>
            <w:rStyle w:val="Hyperlink"/>
          </w:rPr>
          <w:t xml:space="preserve">Standalone package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boundary</w:t>
        </w:r>
      </w:hyperlink>
    </w:p>
    <w:p>
      <w:pPr>
        <w:pStyle w:val="Compact"/>
        <w:numPr>
          <w:ilvl w:val="1"/>
          <w:numId w:val="1002"/>
        </w:numPr>
      </w:pPr>
      <w:hyperlink w:anchor="for-non-technical-users">
        <w:r>
          <w:rPr>
            <w:rStyle w:val="Hyperlink"/>
          </w:rPr>
          <w:t xml:space="preserve">For Non-Technical Users</w:t>
        </w:r>
      </w:hyperlink>
    </w:p>
    <w:p>
      <w:pPr>
        <w:pStyle w:val="Compact"/>
        <w:numPr>
          <w:ilvl w:val="1"/>
          <w:numId w:val="1002"/>
        </w:numPr>
      </w:pPr>
      <w:hyperlink w:anchor="for-it-and-technical-staff">
        <w:r>
          <w:rPr>
            <w:rStyle w:val="Hyperlink"/>
          </w:rPr>
          <w:t xml:space="preserve">For IT and Technical Staff</w:t>
        </w:r>
      </w:hyperlink>
    </w:p>
    <w:p>
      <w:pPr>
        <w:pStyle w:val="Compact"/>
        <w:numPr>
          <w:ilvl w:val="1"/>
          <w:numId w:val="1002"/>
        </w:numPr>
      </w:pPr>
      <w:hyperlink w:anchor="start-and-smoke-check-townlight-notice">
        <w:r>
          <w:rPr>
            <w:rStyle w:val="Hyperlink"/>
          </w:rPr>
          <w:t xml:space="preserve">Start and Smoke-Check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Townlight Notice</w:t>
        </w:r>
      </w:hyperlink>
    </w:p>
    <w:p>
      <w:pPr>
        <w:pStyle w:val="Compact"/>
        <w:numPr>
          <w:ilvl w:val="1"/>
          <w:numId w:val="1002"/>
        </w:numPr>
      </w:pPr>
      <w:hyperlink w:anchor="architecture">
        <w:r>
          <w:rPr>
            <w:rStyle w:val="Hyperlink"/>
          </w:rPr>
          <w:t xml:space="preserve">Architecture</w:t>
        </w:r>
      </w:hyperlink>
    </w:p>
    <w:p>
      <w:pPr>
        <w:pStyle w:val="FirstParagraph"/>
      </w:pPr>
      <w:bookmarkStart w:id="10" w:name="townlight_notice-user-manual"/>
      <w:bookmarkEnd w:id="10"/>
    </w:p>
    <w:bookmarkStart w:id="20" w:name="townlight-notice-user-manual"/>
    <w:p>
      <w:pPr>
        <w:pStyle w:val="Heading1"/>
      </w:pPr>
      <w:r>
        <w:t xml:space="preserve">Townlight Notice User Manual</w:t>
      </w:r>
    </w:p>
    <w:bookmarkStart w:id="12" w:name="windows-staff-workflow-0.3.0-candidate"/>
    <w:p>
      <w:pPr>
        <w:pStyle w:val="Heading2"/>
      </w:pPr>
      <w:r>
        <w:t xml:space="preserve">Windows staff workflow —</w:t>
      </w:r>
      <w:r>
        <w:t xml:space="preserve"> </w:t>
      </w:r>
      <w:r>
        <w:t xml:space="preserve">0.3.0</w:t>
      </w:r>
    </w:p>
    <w:p>
      <w:pPr>
        <w:pStyle w:val="FirstParagraph"/>
      </w:pPr>
      <w:r>
        <w:t xml:space="preserve">Use a fresh Windows profile. The approved profile path is</w:t>
      </w:r>
      <w:r>
        <w:t xml:space="preserve"> </w:t>
      </w:r>
      <w:r>
        <w:rPr>
          <w:rStyle w:val="VerbatimChar"/>
        </w:rPr>
        <w:t xml:space="preserve">%LOCALAPPDATA%\CivicSuite</w:t>
      </w:r>
      <w:r>
        <w:t xml:space="preserve">. Keep existing profiles and backups.</w:t>
      </w:r>
    </w:p>
    <w:p>
      <w:pPr>
        <w:pStyle w:val="Compact"/>
        <w:numPr>
          <w:ilvl w:val="0"/>
          <w:numId w:val="1003"/>
        </w:numPr>
      </w:pPr>
      <w:r>
        <w:t xml:space="preserve">Sign in with an account allowed to use Notice and open Public</w:t>
      </w:r>
      <w:r>
        <w:t xml:space="preserve"> </w:t>
      </w:r>
      <w:r>
        <w:t xml:space="preserve">Notices. Create a draft with title, actual notice text, type, event</w:t>
      </w:r>
      <w:r>
        <w:t xml:space="preserve"> </w:t>
      </w:r>
      <w:r>
        <w:t xml:space="preserve">date, staff-selected calendar lead days and staff-verified statutory</w:t>
      </w:r>
      <w:r>
        <w:t xml:space="preserve"> </w:t>
      </w:r>
      <w:r>
        <w:t xml:space="preserve">basis. Save it. Its deadline workpaper uses the shared Core reminder</w:t>
      </w:r>
      <w:r>
        <w:t xml:space="preserve"> </w:t>
      </w:r>
      <w:r>
        <w:t xml:space="preserve">helper; it does not establish legal sufficiency.</w:t>
      </w:r>
    </w:p>
    <w:p>
      <w:pPr>
        <w:pStyle w:val="Compact"/>
        <w:numPr>
          <w:ilvl w:val="0"/>
          <w:numId w:val="1003"/>
        </w:numPr>
      </w:pPr>
      <w:r>
        <w:t xml:space="preserve">Select the saved notice, read the deadline workpaper and source,</w:t>
      </w:r>
      <w:r>
        <w:t xml:space="preserve"> </w:t>
      </w:r>
      <w:r>
        <w:t xml:space="preserve">enter review notes, then record staff review. Approve that saved</w:t>
      </w:r>
      <w:r>
        <w:t xml:space="preserve"> </w:t>
      </w:r>
      <w:r>
        <w:t xml:space="preserve">revision only after the responsible staff member has checked the law,</w:t>
      </w:r>
      <w:r>
        <w:t xml:space="preserve"> </w:t>
      </w:r>
      <w:r>
        <w:t xml:space="preserve">timing, content and channels. Mechanical rule success never removes the</w:t>
      </w:r>
      <w:r>
        <w:t xml:space="preserve"> </w:t>
      </w:r>
      <w:r>
        <w:t xml:space="preserve">staff-review requirement.</w:t>
      </w:r>
    </w:p>
    <w:p>
      <w:pPr>
        <w:pStyle w:val="Compact"/>
        <w:numPr>
          <w:ilvl w:val="0"/>
          <w:numId w:val="1003"/>
        </w:numPr>
      </w:pPr>
      <w:r>
        <w:t xml:space="preserve">Perform official publication outside Townlight. Retain the actual</w:t>
      </w:r>
      <w:r>
        <w:t xml:space="preserve"> </w:t>
      </w:r>
      <w:r>
        <w:t xml:space="preserve">proof file (up to 5 MB each and 10 MB total for the current approved</w:t>
      </w:r>
      <w:r>
        <w:t xml:space="preserve"> </w:t>
      </w:r>
      <w:r>
        <w:t xml:space="preserve">content), posting location and actual posting date/time including time</w:t>
      </w:r>
      <w:r>
        <w:t xml:space="preserve"> </w:t>
      </w:r>
      <w:r>
        <w:t xml:space="preserve">zone. A filename, target system name or checklist alone is not posting</w:t>
      </w:r>
      <w:r>
        <w:t xml:space="preserve"> </w:t>
      </w:r>
      <w:r>
        <w:t xml:space="preserve">proof.</w:t>
      </w:r>
    </w:p>
    <w:p>
      <w:pPr>
        <w:pStyle w:val="Compact"/>
        <w:numPr>
          <w:ilvl w:val="0"/>
          <w:numId w:val="1003"/>
        </w:numPr>
      </w:pPr>
      <w:r>
        <w:t xml:space="preserve">Create the archive after approval and proof. The archive contains</w:t>
      </w:r>
      <w:r>
        <w:t xml:space="preserve"> </w:t>
      </w:r>
      <w:r>
        <w:t xml:space="preserve">the actual notice, retained proof bytes, review/approval history and a</w:t>
      </w:r>
      <w:r>
        <w:t xml:space="preserve"> </w:t>
      </w:r>
      <w:r>
        <w:t xml:space="preserve">per-file SHA-256/size manifest. Write and verify the ZIP export to</w:t>
      </w:r>
      <w:r>
        <w:t xml:space="preserve"> </w:t>
      </w:r>
      <w:r>
        <w:t xml:space="preserve">preserve a usable file. ZIP entry timestamps are fixed for deterministic</w:t>
      </w:r>
      <w:r>
        <w:t xml:space="preserve"> </w:t>
      </w:r>
      <w:r>
        <w:t xml:space="preserve">packaging; the record contains the recorded posting and audit</w:t>
      </w:r>
      <w:r>
        <w:t xml:space="preserve"> </w:t>
      </w:r>
      <w:r>
        <w:t xml:space="preserve">times.</w:t>
      </w:r>
    </w:p>
    <w:p>
      <w:pPr>
        <w:pStyle w:val="Compact"/>
        <w:numPr>
          <w:ilvl w:val="0"/>
          <w:numId w:val="1003"/>
        </w:numPr>
      </w:pPr>
      <w:r>
        <w:t xml:space="preserve">For a Records handoff, enter the intended Records request UUID and</w:t>
      </w:r>
      <w:r>
        <w:t xml:space="preserve"> </w:t>
      </w:r>
      <w:r>
        <w:t xml:space="preserve">select Attach archive to Records. This requires Records authority as</w:t>
      </w:r>
      <w:r>
        <w:t xml:space="preserve"> </w:t>
      </w:r>
      <w:r>
        <w:t xml:space="preserve">well as Notice authority. Townlight retains an exact managed copy,</w:t>
      </w:r>
      <w:r>
        <w:t xml:space="preserve"> </w:t>
      </w:r>
      <w:r>
        <w:t xml:space="preserve">verifies its hash, attaches it through the canonical Records writer and</w:t>
      </w:r>
      <w:r>
        <w:t xml:space="preserve"> </w:t>
      </w:r>
      <w:r>
        <w:t xml:space="preserve">reports the request/archive identity and hash. Repeating the same</w:t>
      </w:r>
      <w:r>
        <w:t xml:space="preserve"> </w:t>
      </w:r>
      <w:r>
        <w:t xml:space="preserve">handoff does not create a duplicate attachment. Open the request in</w:t>
      </w:r>
      <w:r>
        <w:t xml:space="preserve"> </w:t>
      </w:r>
      <w:r>
        <w:t xml:space="preserve">Records and read back the attached archive. Disclosure still requires</w:t>
      </w:r>
      <w:r>
        <w:t xml:space="preserve"> </w:t>
      </w:r>
      <w:r>
        <w:t xml:space="preserve">Records review/release authority.</w:t>
      </w:r>
    </w:p>
    <w:p>
      <w:pPr>
        <w:pStyle w:val="FirstParagraph"/>
      </w:pPr>
      <w:r>
        <w:t xml:space="preserve">Saved notices and history can be reopened from Public Notices. A</w:t>
      </w:r>
      <w:r>
        <w:t xml:space="preserve"> </w:t>
      </w:r>
      <w:r>
        <w:t xml:space="preserve">content edit clears the prior review, approval and current proof</w:t>
      </w:r>
      <w:r>
        <w:t xml:space="preserve"> </w:t>
      </w:r>
      <w:r>
        <w:t xml:space="preserve">selection; historical events/proof/archives remain retained. A stale</w:t>
      </w:r>
      <w:r>
        <w:t xml:space="preserve"> </w:t>
      </w:r>
      <w:r>
        <w:t xml:space="preserve">open revision is rejected so staff must refresh and review the saved</w:t>
      </w:r>
      <w:r>
        <w:t xml:space="preserve"> </w:t>
      </w:r>
      <w:r>
        <w:t xml:space="preserve">content. Missing review, approval or actual proof blocks the</w:t>
      </w:r>
      <w:r>
        <w:t xml:space="preserve"> </w:t>
      </w:r>
      <w:r>
        <w:t xml:space="preserve">corresponding step. Back up/restore the matching complete new-format</w:t>
      </w:r>
      <w:r>
        <w:t xml:space="preserve"> </w:t>
      </w:r>
      <w:r>
        <w:t xml:space="preserve">profile through System Health; the</w:t>
      </w:r>
      <w:r>
        <w:t xml:space="preserve"> </w:t>
      </w:r>
      <w:hyperlink r:id="rId11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records the installed backup/restore and archive readback checks.</w:t>
      </w:r>
    </w:p>
    <w:p>
      <w:pPr>
        <w:pStyle w:val="BodyText"/>
      </w:pPr>
      <w:r>
        <w:t xml:space="preserve">This replaces the disconnected standalone Public Notices controls.</w:t>
      </w:r>
      <w:r>
        <w:t xml:space="preserve"> </w:t>
      </w:r>
      <w:r>
        <w:t xml:space="preserve">The separate Meetings notice/template/proof workflow remains available</w:t>
      </w:r>
      <w:r>
        <w:t xml:space="preserve"> </w:t>
      </w:r>
      <w:r>
        <w:t xml:space="preserve">for meeting-specific records; it does not silently approve a different</w:t>
      </w:r>
      <w:r>
        <w:t xml:space="preserve"> </w:t>
      </w:r>
      <w:r>
        <w:t xml:space="preserve">Notice draft. Staff remain responsible for legal sufficiency, official</w:t>
      </w:r>
      <w:r>
        <w:t xml:space="preserve"> </w:t>
      </w:r>
      <w:r>
        <w:t xml:space="preserve">publication and the official record. No subscriber message or official</w:t>
      </w:r>
      <w:r>
        <w:t xml:space="preserve"> </w:t>
      </w:r>
      <w:r>
        <w:t xml:space="preserve">notice is sent automatically.</w:t>
      </w:r>
    </w:p>
    <w:bookmarkEnd w:id="12"/>
    <w:bookmarkStart w:id="13" w:name="standalone-package-boundary"/>
    <w:p>
      <w:pPr>
        <w:pStyle w:val="Heading2"/>
      </w:pPr>
      <w:r>
        <w:t xml:space="preserve">Standalone package boundary</w:t>
      </w:r>
    </w:p>
    <w:p>
      <w:pPr>
        <w:pStyle w:val="FirstParagraph"/>
      </w:pPr>
      <w:r>
        <w:t xml:space="preserve">The standalone FastAPI routes below remain registry/deadline/proof</w:t>
      </w:r>
      <w:r>
        <w:t xml:space="preserve"> </w:t>
      </w:r>
      <w:r>
        <w:t xml:space="preserve">workpapers and deterministic planning helpers. The Windows authenticated</w:t>
      </w:r>
      <w:r>
        <w:t xml:space="preserve"> </w:t>
      </w:r>
      <w:r>
        <w:t xml:space="preserve">lifecycle above is provided by the suite runtime using Notice’s durable</w:t>
      </w:r>
      <w:r>
        <w:t xml:space="preserve"> </w:t>
      </w:r>
      <w:r>
        <w:t xml:space="preserve">workflow store; it is not a claim that every standalone helper performs</w:t>
      </w:r>
      <w:r>
        <w:t xml:space="preserve"> </w:t>
      </w:r>
      <w:r>
        <w:t xml:space="preserve">an archive or Records transfer. Fixed rule packs are review aids and are</w:t>
      </w:r>
      <w:r>
        <w:t xml:space="preserve"> </w:t>
      </w:r>
      <w:r>
        <w:t xml:space="preserve">not administered jurisdiction/effective-date legal rules.</w:t>
      </w:r>
      <w:r>
        <w:t xml:space="preserve"> </w:t>
      </w:r>
      <w:r>
        <w:t xml:space="preserve">Subscriber/channel/accessibility/export helpers retain their documented</w:t>
      </w:r>
      <w:r>
        <w:t xml:space="preserve"> </w:t>
      </w:r>
      <w:r>
        <w:t xml:space="preserve">planning boundaries.</w:t>
      </w:r>
    </w:p>
    <w:bookmarkEnd w:id="13"/>
    <w:bookmarkStart w:id="14" w:name="for-non-technical-users"/>
    <w:p>
      <w:pPr>
        <w:pStyle w:val="Heading2"/>
      </w:pPr>
      <w:r>
        <w:t xml:space="preserve">For Non-Technical Users</w:t>
      </w:r>
    </w:p>
    <w:p>
      <w:pPr>
        <w:pStyle w:val="FirstParagraph"/>
      </w:pPr>
      <w:r>
        <w:t xml:space="preserve">Townlight Notice helps city staff organize public hearing notices,</w:t>
      </w:r>
      <w:r>
        <w:t xml:space="preserve"> </w:t>
      </w:r>
      <w:r>
        <w:t xml:space="preserve">legal notices, bid notices, vacancy notices, publication deadlines,</w:t>
      </w:r>
      <w:r>
        <w:t xml:space="preserve"> </w:t>
      </w:r>
      <w:r>
        <w:t xml:space="preserve">channel planning notes, accessibility and language-readiness checks,</w:t>
      </w:r>
      <w:r>
        <w:t xml:space="preserve"> </w:t>
      </w:r>
      <w:r>
        <w:t xml:space="preserve">proof requirements, subscriber delivery plans, archive/handoff packets,</w:t>
      </w:r>
      <w:r>
        <w:t xml:space="preserve"> </w:t>
      </w:r>
      <w:r>
        <w:t xml:space="preserve">and export manifests. It can create a sample notice registry stub, build</w:t>
      </w:r>
      <w:r>
        <w:t xml:space="preserve"> </w:t>
      </w:r>
      <w:r>
        <w:t xml:space="preserve">publication deadline reminders, check a draft packet against</w:t>
      </w:r>
      <w:r>
        <w:t xml:space="preserve"> </w:t>
      </w:r>
      <w:r>
        <w:t xml:space="preserve">deterministic staff-review rules, create a staff-editable notice</w:t>
      </w:r>
      <w:r>
        <w:t xml:space="preserve"> </w:t>
      </w:r>
      <w:r>
        <w:t xml:space="preserve">template, retrieve saved registry/deadline/publication-proof workpapers</w:t>
      </w:r>
      <w:r>
        <w:t xml:space="preserve"> </w:t>
      </w:r>
      <w:r>
        <w:t xml:space="preserve">when IT enables persistence, assemble publication-readiness checklists,</w:t>
      </w:r>
      <w:r>
        <w:t xml:space="preserve"> </w:t>
      </w:r>
      <w:r>
        <w:t xml:space="preserve">summarize channel planning, build</w:t>
      </w:r>
      <w:r>
        <w:t xml:space="preserve"> </w:t>
      </w:r>
      <w:r>
        <w:t xml:space="preserve">accessibility/plain-language/translation readiness packets, build</w:t>
      </w:r>
      <w:r>
        <w:t xml:space="preserve"> </w:t>
      </w:r>
      <w:r>
        <w:t xml:space="preserve">subscriber delivery plans, assemble archive/handoff packets, and</w:t>
      </w:r>
      <w:r>
        <w:t xml:space="preserve"> </w:t>
      </w:r>
      <w:r>
        <w:t xml:space="preserve">assemble a notice/records export checklist.</w:t>
      </w:r>
    </w:p>
    <w:p>
      <w:pPr>
        <w:pStyle w:val="BodyText"/>
      </w:pPr>
      <w:r>
        <w:t xml:space="preserve">Notice 0.3.0 ships in the</w:t>
      </w:r>
      <w:r>
        <w:t xml:space="preserve"> </w:t>
      </w:r>
      <w:hyperlink r:id="rId9">
        <w:r>
          <w:rPr>
            <w:rStyle w:val="Hyperlink"/>
          </w:rPr>
          <w:t xml:space="preserve">Windows x64 beta 1.7.0.1</w:t>
        </w:r>
      </w:hyperlink>
      <w:r>
        <w:t xml:space="preserve"> </w:t>
      </w:r>
      <w:r>
        <w:t xml:space="preserve">with Townlight Core 1.3.0.dev2. The</w:t>
      </w:r>
      <w:r>
        <w:t xml:space="preserve"> </w:t>
      </w:r>
      <w:hyperlink r:id="rId11">
        <w:r>
          <w:rPr>
            <w:rStyle w:val="Hyperlink"/>
          </w:rPr>
          <w:t xml:space="preserve">Windows acceptance summary</w:t>
        </w:r>
      </w:hyperlink>
      <w:r>
        <w:t xml:space="preserve"> </w:t>
      </w:r>
      <w:r>
        <w:t xml:space="preserve">covers the installed staff workflow. Standalone deployment is documented separately below.</w:t>
      </w:r>
    </w:p>
    <w:bookmarkEnd w:id="14"/>
    <w:bookmarkStart w:id="16" w:name="for-it-and-technical-staff"/>
    <w:p>
      <w:pPr>
        <w:pStyle w:val="Heading2"/>
      </w:pPr>
      <w:r>
        <w:t xml:space="preserve">For IT and Technical Staff</w:t>
      </w:r>
    </w:p>
    <w:p>
      <w:pPr>
        <w:pStyle w:val="FirstParagraph"/>
      </w:pPr>
      <w:r>
        <w:t xml:space="preserve">Townlight Notice is a FastAPI Python package pinned to the</w:t>
      </w:r>
      <w:r>
        <w:t xml:space="preserve"> </w:t>
      </w:r>
      <w:r>
        <w:rPr>
          <w:rStyle w:val="VerbatimChar"/>
        </w:rPr>
        <w:t xml:space="preserve">townlight-core 1.3.0.dev2</w:t>
      </w:r>
      <w:r>
        <w:t xml:space="preserve"> </w:t>
      </w:r>
      <w:r>
        <w:t xml:space="preserve">release wheel. The current</w:t>
      </w:r>
      <w:r>
        <w:t xml:space="preserve"> </w:t>
      </w:r>
      <w:r>
        <w:t xml:space="preserve">runtime exposes:</w:t>
      </w:r>
    </w:p>
    <w:p>
      <w:pPr>
        <w:pStyle w:val="BodyText"/>
      </w:pPr>
      <w:r>
        <w:t xml:space="preserve">Set</w:t>
      </w:r>
      <w:r>
        <w:t xml:space="preserve"> </w:t>
      </w:r>
      <w:r>
        <w:rPr>
          <w:rStyle w:val="VerbatimChar"/>
        </w:rPr>
        <w:t xml:space="preserve">TOWNLIGHT_NOTICE_WORKPAPER_DB_URL</w:t>
      </w:r>
      <w:r>
        <w:t xml:space="preserve"> </w:t>
      </w:r>
      <w:r>
        <w:t xml:space="preserve">to enable</w:t>
      </w:r>
      <w:r>
        <w:t xml:space="preserve"> </w:t>
      </w:r>
      <w:r>
        <w:t xml:space="preserve">SQLAlchemy-backed notice registry, deadline-plan, and publication-proof</w:t>
      </w:r>
      <w:r>
        <w:t xml:space="preserve"> </w:t>
      </w:r>
      <w:r>
        <w:t xml:space="preserve">records. Leave it unset for deterministic stateless operation: registry</w:t>
      </w:r>
      <w:r>
        <w:t xml:space="preserve"> </w:t>
      </w:r>
      <w:r>
        <w:t xml:space="preserve">and deadline POST requests return transient payloads, persisted GET</w:t>
      </w:r>
      <w:r>
        <w:t xml:space="preserve"> </w:t>
      </w:r>
      <w:r>
        <w:t xml:space="preserve">routes return actionable 503 responses, and publication-proof storage is</w:t>
      </w:r>
      <w:r>
        <w:t xml:space="preserve"> </w:t>
      </w:r>
      <w:r>
        <w:t xml:space="preserve">unavailable. When persistence is enabled, set</w:t>
      </w:r>
      <w:r>
        <w:t xml:space="preserve"> </w:t>
      </w:r>
      <w:r>
        <w:rPr>
          <w:rStyle w:val="VerbatimChar"/>
        </w:rPr>
        <w:t xml:space="preserve">TOWNLIGHT_NOTICE_TRUSTED_WRITE_TOKEN</w:t>
      </w:r>
      <w:r>
        <w:t xml:space="preserve"> </w:t>
      </w:r>
      <w:r>
        <w:t xml:space="preserve">and send the matching</w:t>
      </w:r>
      <w:r>
        <w:t xml:space="preserve"> </w:t>
      </w:r>
      <w:r>
        <w:rPr>
          <w:rStyle w:val="VerbatimChar"/>
        </w:rPr>
        <w:t xml:space="preserve">X-Townlight-Notice-Write-Token</w:t>
      </w:r>
      <w:r>
        <w:t xml:space="preserve"> </w:t>
      </w:r>
      <w:r>
        <w:t xml:space="preserve">header for durable write</w:t>
      </w:r>
      <w:r>
        <w:t xml:space="preserve"> </w:t>
      </w:r>
      <w:r>
        <w:t xml:space="preserve">routes.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/health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/townlight_notice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/docs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/openapi.json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/api/v1/townlight_notice/registry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/api/v1/townlight_notice/registry/{record_id}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/api/v1/townlight_notice/deadlines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/api/v1/townlight_notice/deadlines/{plan_id}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/api/v1/townlight_notice/rule-check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/api/v1/townlight_notice/templates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/api/v1/townlight_notice/publication-proof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GET /api/v1/townlight_notice/publication-proof/{proof_id}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/api/v1/townlight_notice/publication-check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/api/v1/townlight_notice/accessibility-review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/api/v1/townlight_notice/channels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/api/v1/townlight_notice/subscribers/plan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/api/v1/townlight_notice/archive-packet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POST /api/v1/townlight_notice/export</w:t>
      </w:r>
    </w:p>
    <w:p>
      <w:pPr>
        <w:pStyle w:val="FirstParagraph"/>
      </w:pPr>
      <w:bookmarkStart w:id="15" w:name="start-and-smoke-check-townlight_notice"/>
      <w:bookmarkEnd w:id="15"/>
    </w:p>
    <w:bookmarkEnd w:id="16"/>
    <w:bookmarkStart w:id="18" w:name="start-and-smoke-check-townlight-notice"/>
    <w:p>
      <w:pPr>
        <w:pStyle w:val="Heading2"/>
      </w:pPr>
      <w:r>
        <w:t xml:space="preserve">Start and Smoke-Check</w:t>
      </w:r>
      <w:r>
        <w:t xml:space="preserve"> </w:t>
      </w:r>
      <w:r>
        <w:t xml:space="preserve">Townlight Notice</w:t>
      </w:r>
    </w:p>
    <w:p>
      <w:pPr>
        <w:pStyle w:val="FirstParagraph"/>
      </w:pPr>
      <w:r>
        <w:t xml:space="preserve">A fresh user can reach the core stateless API and public sample UI</w:t>
      </w:r>
      <w:r>
        <w:t xml:space="preserve"> </w:t>
      </w:r>
      <w:r>
        <w:t xml:space="preserve">without a database, model server, account, or API key. Start the ASGI</w:t>
      </w:r>
      <w:r>
        <w:t xml:space="preserve"> </w:t>
      </w:r>
      <w:r>
        <w:t xml:space="preserve">app target</w:t>
      </w:r>
      <w:r>
        <w:t xml:space="preserve"> </w:t>
      </w:r>
      <w:r>
        <w:rPr>
          <w:rStyle w:val="VerbatimChar"/>
        </w:rPr>
        <w:t xml:space="preserve">townlight_notice.main:app</w:t>
      </w:r>
      <w:r>
        <w:t xml:space="preserve">, then confirm</w:t>
      </w:r>
      <w:r>
        <w:t xml:space="preserve"> </w:t>
      </w:r>
      <w:r>
        <w:rPr>
          <w:rStyle w:val="VerbatimChar"/>
        </w:rPr>
        <w:t xml:space="preserve">/health</w:t>
      </w:r>
      <w:r>
        <w:t xml:space="preserve"> </w:t>
      </w:r>
      <w:r>
        <w:t xml:space="preserve">reports Townlight Notice</w:t>
      </w:r>
      <w:r>
        <w:t xml:space="preserve"> </w:t>
      </w:r>
      <w:r>
        <w:rPr>
          <w:rStyle w:val="VerbatimChar"/>
        </w:rPr>
        <w:t xml:space="preserve">0.3.0</w:t>
      </w:r>
      <w:r>
        <w:t xml:space="preserve"> </w:t>
      </w:r>
      <w:r>
        <w:t xml:space="preserve">and</w:t>
      </w:r>
      <w:r>
        <w:t xml:space="preserve"> </w:t>
      </w:r>
      <w:r>
        <w:t xml:space="preserve">Townlight Core</w:t>
      </w:r>
      <w:r>
        <w:t xml:space="preserve"> </w:t>
      </w:r>
      <w:r>
        <w:rPr>
          <w:rStyle w:val="VerbatimChar"/>
        </w:rPr>
        <w:t xml:space="preserve">1.3.0.dev2</w:t>
      </w:r>
      <w:r>
        <w:t xml:space="preserve">.</w:t>
      </w:r>
    </w:p>
    <w:p>
      <w:pPr>
        <w:pStyle w:val="BodyText"/>
      </w:pPr>
      <w:r>
        <w:t xml:space="preserve">Minimal smoke-check workflow:</w:t>
      </w:r>
    </w:p>
    <w:p>
      <w:pPr>
        <w:pStyle w:val="Compact"/>
        <w:numPr>
          <w:ilvl w:val="0"/>
          <w:numId w:val="1005"/>
        </w:numPr>
      </w:pPr>
      <w:r>
        <w:t xml:space="preserve">Create a transient registry stub with</w:t>
      </w:r>
      <w:r>
        <w:t xml:space="preserve"> </w:t>
      </w:r>
      <w:r>
        <w:rPr>
          <w:rStyle w:val="VerbatimChar"/>
        </w:rPr>
        <w:t xml:space="preserve">/api/v1/townlight_notice/registry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Open</w:t>
      </w:r>
      <w:r>
        <w:t xml:space="preserve"> </w:t>
      </w:r>
      <w:r>
        <w:rPr>
          <w:rStyle w:val="VerbatimChar"/>
        </w:rPr>
        <w:t xml:space="preserve">/docs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/openapi.json</w:t>
      </w:r>
      <w:r>
        <w:t xml:space="preserve"> </w:t>
      </w:r>
      <w:r>
        <w:t xml:space="preserve">to inspect</w:t>
      </w:r>
      <w:r>
        <w:t xml:space="preserve"> </w:t>
      </w:r>
      <w:r>
        <w:t xml:space="preserve">accepted fields, then create a deterministic rule check with</w:t>
      </w:r>
      <w:r>
        <w:t xml:space="preserve"> </w:t>
      </w:r>
      <w:r>
        <w:rPr>
          <w:rStyle w:val="VerbatimChar"/>
        </w:rPr>
        <w:t xml:space="preserve">/api/v1/townlight_notice/rule-check</w:t>
      </w:r>
      <w:r>
        <w:t xml:space="preserve">. Unsupported notice</w:t>
      </w:r>
      <w:r>
        <w:t xml:space="preserve"> </w:t>
      </w:r>
      <w:r>
        <w:t xml:space="preserve">types return supported choices instead of silently falling back to a</w:t>
      </w:r>
      <w:r>
        <w:t xml:space="preserve"> </w:t>
      </w:r>
      <w:r>
        <w:t xml:space="preserve">generic rule.</w:t>
      </w:r>
    </w:p>
    <w:p>
      <w:pPr>
        <w:pStyle w:val="Compact"/>
        <w:numPr>
          <w:ilvl w:val="0"/>
          <w:numId w:val="1005"/>
        </w:numPr>
      </w:pPr>
      <w:r>
        <w:t xml:space="preserve">Open</w:t>
      </w:r>
      <w:r>
        <w:t xml:space="preserve"> </w:t>
      </w:r>
      <w:r>
        <w:rPr>
          <w:rStyle w:val="VerbatimChar"/>
        </w:rPr>
        <w:t xml:space="preserve">/townlight_notice</w:t>
      </w:r>
      <w:r>
        <w:t xml:space="preserve"> </w:t>
      </w:r>
      <w:r>
        <w:t xml:space="preserve">and confirm it is a static</w:t>
      </w:r>
      <w:r>
        <w:t xml:space="preserve"> </w:t>
      </w:r>
      <w:r>
        <w:t xml:space="preserve">public sample with boundary copy.</w:t>
      </w:r>
    </w:p>
    <w:p>
      <w:pPr>
        <w:pStyle w:val="Compact"/>
        <w:numPr>
          <w:ilvl w:val="0"/>
          <w:numId w:val="1005"/>
        </w:numPr>
      </w:pPr>
      <w:r>
        <w:t xml:space="preserve">If durable workpapers are enabled, confirm the trusted write token</w:t>
      </w:r>
      <w:r>
        <w:t xml:space="preserve"> </w:t>
      </w:r>
      <w:r>
        <w:t xml:space="preserve">is configured before testing persistence-backed writes.</w:t>
      </w:r>
    </w:p>
    <w:p>
      <w:pPr>
        <w:pStyle w:val="FirstParagraph"/>
      </w:pPr>
      <w:r>
        <w:t xml:space="preserve">Run:</w:t>
      </w:r>
    </w:p>
    <w:bookmarkStart w:id="17" w:name="cb1"/>
    <w:p>
      <w:pPr>
        <w:pStyle w:val="SourceCode"/>
      </w:pP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pip install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".[dev]"</w:t>
      </w:r>
      <w:r>
        <w:br/>
      </w:r>
      <w:r>
        <w:rPr>
          <w:rStyle w:val="ExtensionTok"/>
        </w:rPr>
        <w:t xml:space="preserve">python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-m</w:t>
      </w:r>
      <w:r>
        <w:rPr>
          <w:rStyle w:val="NormalTok"/>
        </w:rPr>
        <w:t xml:space="preserve"> pytest </w:t>
      </w:r>
      <w:r>
        <w:rPr>
          <w:rStyle w:val="AttributeTok"/>
        </w:rPr>
        <w:t xml:space="preserve">-q</w:t>
      </w:r>
      <w:r>
        <w:br/>
      </w:r>
      <w:r>
        <w:rPr>
          <w:rStyle w:val="FunctionTok"/>
        </w:rPr>
        <w:t xml:space="preserve">bash</w:t>
      </w:r>
      <w:r>
        <w:rPr>
          <w:rStyle w:val="NormalTok"/>
        </w:rPr>
        <w:t xml:space="preserve"> scripts/verify-release.sh</w:t>
      </w:r>
    </w:p>
    <w:bookmarkEnd w:id="17"/>
    <w:bookmarkEnd w:id="18"/>
    <w:bookmarkStart w:id="19" w:name="architecture"/>
    <w:p>
      <w:pPr>
        <w:pStyle w:val="Heading2"/>
      </w:pPr>
      <w:r>
        <w:t xml:space="preserve">Architecture</w:t>
      </w:r>
    </w:p>
    <w:p>
      <w:pPr>
        <w:pStyle w:val="SourceCode"/>
      </w:pPr>
      <w:r>
        <w:rPr>
          <w:rStyle w:val="VerbatimChar"/>
        </w:rPr>
        <w:t xml:space="preserve">flowchart LR</w:t>
      </w:r>
      <w:r>
        <w:br/>
      </w:r>
      <w:r>
        <w:rPr>
          <w:rStyle w:val="VerbatimChar"/>
        </w:rPr>
        <w:t xml:space="preserve">  Staff["Clerk / communications / purchasing staff"] --&gt; Townlight Notice["Townlight Notice"]</w:t>
      </w:r>
      <w:r>
        <w:br/>
      </w:r>
      <w:r>
        <w:rPr>
          <w:rStyle w:val="VerbatimChar"/>
        </w:rPr>
        <w:t xml:space="preserve">  Townlight Notice --&gt; Townlight Core["Townlight Core 1.3.0.dev2"]</w:t>
      </w:r>
      <w:r>
        <w:br/>
      </w:r>
      <w:r>
        <w:rPr>
          <w:rStyle w:val="VerbatimChar"/>
        </w:rPr>
        <w:t xml:space="preserve">  Townlight Notice -. future handoff .-&gt; Townlight Meetings["Townlight Meetings v0.1.0"]</w:t>
      </w:r>
      <w:r>
        <w:br/>
      </w:r>
      <w:r>
        <w:rPr>
          <w:rStyle w:val="VerbatimChar"/>
        </w:rPr>
        <w:t xml:space="preserve">  Townlight Notice -. future handoff .-&gt; CivicProcure["CivicProcure v0.1.1"]</w:t>
      </w:r>
      <w:r>
        <w:br/>
      </w:r>
      <w:r>
        <w:rPr>
          <w:rStyle w:val="VerbatimChar"/>
        </w:rPr>
        <w:t xml:space="preserve">  Townlight Notice --&gt; Export["Notice and records export checklist"]</w:t>
      </w:r>
    </w:p>
    <w:p>
      <w:pPr>
        <w:pStyle w:val="FirstParagraph"/>
      </w:pPr>
      <w:r>
        <w:t xml:space="preserve">Townlight Notice depends on Townlight Core. Townlight Core does not</w:t>
      </w:r>
      <w:r>
        <w:t xml:space="preserve"> </w:t>
      </w:r>
      <w:r>
        <w:t xml:space="preserve">depend on Townlight Notice. Townlight Notice v0.3.0 uses the shared</w:t>
      </w:r>
      <w:r>
        <w:t xml:space="preserve"> </w:t>
      </w:r>
      <w:r>
        <w:t xml:space="preserve">Townlight Core notice deadline helper plus deterministic sample notice</w:t>
      </w:r>
      <w:r>
        <w:t xml:space="preserve"> </w:t>
      </w:r>
      <w:r>
        <w:t xml:space="preserve">data, staff-review rule packs, notice templates, accessibility and</w:t>
      </w:r>
      <w:r>
        <w:t xml:space="preserve"> </w:t>
      </w:r>
      <w:r>
        <w:t xml:space="preserve">language-readiness packets, subscriber delivery plans, archive/handoff</w:t>
      </w:r>
      <w:r>
        <w:t xml:space="preserve"> </w:t>
      </w:r>
      <w:r>
        <w:t xml:space="preserve">packets, and optional publication-proof workpapers only; live</w:t>
      </w:r>
      <w:r>
        <w:t xml:space="preserve"> </w:t>
      </w:r>
      <w:r>
        <w:t xml:space="preserve">agenda/procurement handoffs, legal sufficiency decisions, legal advice,</w:t>
      </w:r>
      <w:r>
        <w:t xml:space="preserve"> </w:t>
      </w:r>
      <w:r>
        <w:t xml:space="preserve">official notice publication, publication-system write-back, and</w:t>
      </w:r>
      <w:r>
        <w:t xml:space="preserve"> </w:t>
      </w:r>
      <w:r>
        <w:t xml:space="preserve">production notice-system integrations are future work.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github.com/townlight/townlight/releases/download/townlight-beta-1-windows-1.7.0.1/ACCEPTANCE-Windows-1.7.0.1.md" TargetMode="External" /><Relationship Type="http://schemas.openxmlformats.org/officeDocument/2006/relationships/hyperlink" Id="rId9" Target="https://github.com/townlight/townlight/releases/tag/townlight-beta-1-windows-1.7.0.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github.com/townlight/townlight/releases/download/townlight-beta-1-windows-1.7.0.1/ACCEPTANCE-Windows-1.7.0.1.md" TargetMode="External" /><Relationship Type="http://schemas.openxmlformats.org/officeDocument/2006/relationships/hyperlink" Id="rId9" Target="https://github.com/townlight/townlight/releases/tag/townlight-beta-1-windows-1.7.0.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Townlight Notice Manual</dc:title>
  <dc:creator/>
  <cp:keywords/>
  <dcterms:created xsi:type="dcterms:W3CDTF">2026-11-04T06:03:16Z</dcterms:created>
  <dcterms:modified xsi:type="dcterms:W3CDTF">2026-11-04T06:03:16Z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