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Inspections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inspections-manual">
        <w:r>
          <w:rPr>
            <w:rStyle w:val="Hyperlink"/>
          </w:rPr>
          <w:t xml:space="preserve">Townlight Inspections Manual</w:t>
        </w:r>
      </w:hyperlink>
    </w:p>
    <w:p>
      <w:pPr>
        <w:pStyle w:val="Compact"/>
        <w:numPr>
          <w:ilvl w:val="1"/>
          <w:numId w:val="1002"/>
        </w:numPr>
      </w:pPr>
      <w:hyperlink w:anchor="contents">
        <w:r>
          <w:rPr>
            <w:rStyle w:val="Hyperlink"/>
          </w:rPr>
          <w:t xml:space="preserve">Contents</w:t>
        </w:r>
      </w:hyperlink>
    </w:p>
    <w:p>
      <w:pPr>
        <w:pStyle w:val="Compact"/>
        <w:numPr>
          <w:ilvl w:val="1"/>
          <w:numId w:val="1002"/>
        </w:numPr>
      </w:pPr>
      <w:hyperlink w:anchor="using-this-manual">
        <w:r>
          <w:rPr>
            <w:rStyle w:val="Hyperlink"/>
          </w:rPr>
          <w:t xml:space="preserve">Using this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manual</w:t>
        </w:r>
      </w:hyperlink>
    </w:p>
    <w:p>
      <w:pPr>
        <w:pStyle w:val="Compact"/>
        <w:numPr>
          <w:ilvl w:val="1"/>
          <w:numId w:val="1002"/>
        </w:numPr>
      </w:pP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</w:p>
    <w:p>
      <w:pPr>
        <w:pStyle w:val="Compact"/>
        <w:numPr>
          <w:ilvl w:val="1"/>
          <w:numId w:val="1002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1"/>
          <w:numId w:val="1002"/>
        </w:numPr>
      </w:pP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</w:p>
    <w:p>
      <w:pPr>
        <w:pStyle w:val="Compact"/>
        <w:numPr>
          <w:ilvl w:val="1"/>
          <w:numId w:val="1002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1"/>
          <w:numId w:val="1002"/>
        </w:numPr>
      </w:pPr>
      <w:hyperlink w:anchor="X96df1149949adef27ec03948519fad9c9f5b881">
        <w:r>
          <w:rPr>
            <w:rStyle w:val="Hyperlink"/>
          </w:rPr>
          <w:t xml:space="preserve">Evidence limits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outlines and previous cases</w:t>
        </w:r>
      </w:hyperlink>
    </w:p>
    <w:p>
      <w:pPr>
        <w:pStyle w:val="Compact"/>
        <w:numPr>
          <w:ilvl w:val="1"/>
          <w:numId w:val="1002"/>
        </w:numPr>
      </w:pPr>
      <w:hyperlink w:anchor="technical-specifications">
        <w:r>
          <w:rPr>
            <w:rStyle w:val="Hyperlink"/>
          </w:rPr>
          <w:t xml:space="preserve">Technical specifications</w:t>
        </w:r>
      </w:hyperlink>
    </w:p>
    <w:p>
      <w:pPr>
        <w:pStyle w:val="Compact"/>
        <w:numPr>
          <w:ilvl w:val="1"/>
          <w:numId w:val="1002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1"/>
          <w:numId w:val="1002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1"/>
          <w:numId w:val="1002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security-and-permissions">
        <w:r>
          <w:rPr>
            <w:rStyle w:val="Hyperlink"/>
          </w:rPr>
          <w:t xml:space="preserve">Security and permissions</w:t>
        </w:r>
      </w:hyperlink>
    </w:p>
    <w:p>
      <w:pPr>
        <w:pStyle w:val="Compact"/>
        <w:numPr>
          <w:ilvl w:val="1"/>
          <w:numId w:val="1002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1"/>
          <w:numId w:val="1002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1"/>
          <w:numId w:val="1002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1"/>
          <w:numId w:val="1002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1"/>
          <w:numId w:val="1002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1"/>
          <w:numId w:val="1002"/>
        </w:numPr>
      </w:pPr>
      <w:hyperlink w:anchor="alphabetical-subject-index">
        <w:r>
          <w:rPr>
            <w:rStyle w:val="Hyperlink"/>
          </w:rPr>
          <w:t xml:space="preserve">Alphabetical subject index</w:t>
        </w:r>
      </w:hyperlink>
    </w:p>
    <w:p>
      <w:pPr>
        <w:pStyle w:val="Compact"/>
        <w:numPr>
          <w:ilvl w:val="1"/>
          <w:numId w:val="1002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Start w:id="93" w:name="townlight-inspections-manual"/>
    <w:p>
      <w:pPr>
        <w:pStyle w:val="Heading1"/>
      </w:pPr>
      <w:r>
        <w:t xml:space="preserve">Townlight Inspections Manual</w:t>
      </w:r>
    </w:p>
    <w:p>
      <w:pPr>
        <w:pStyle w:val="FirstParagraph"/>
      </w:pPr>
      <w:r>
        <w:rPr>
          <w:b/>
          <w:bCs/>
        </w:rPr>
        <w:t xml:space="preserve">Townlight Beta 1</w:t>
      </w:r>
      <w:r>
        <w:t xml:space="preserve"> </w:t>
      </w:r>
      <w:r>
        <w:t xml:space="preserve">· Naming candidate documentation</w:t>
      </w:r>
      <w:r>
        <w:t xml:space="preserve"> </w:t>
      </w:r>
      <w:r>
        <w:t xml:space="preserve">edition 2 November 2026</w:t>
      </w:r>
    </w:p>
    <w:bookmarkStart w:id="10" w:name="contents"/>
    <w:p>
      <w:pPr>
        <w:pStyle w:val="Heading2"/>
      </w:pPr>
      <w:r>
        <w:t xml:space="preserve">Contents</w:t>
      </w:r>
    </w:p>
    <w:p>
      <w:pPr>
        <w:pStyle w:val="Compact"/>
        <w:numPr>
          <w:ilvl w:val="0"/>
          <w:numId w:val="1003"/>
        </w:numPr>
      </w:pPr>
      <w:hyperlink w:anchor="using-this-manual">
        <w:r>
          <w:rPr>
            <w:rStyle w:val="Hyperlink"/>
          </w:rPr>
          <w:t xml:space="preserve">Using this manual</w:t>
        </w:r>
      </w:hyperlink>
    </w:p>
    <w:p>
      <w:pPr>
        <w:pStyle w:val="Compact"/>
        <w:numPr>
          <w:ilvl w:val="0"/>
          <w:numId w:val="1003"/>
        </w:numPr>
      </w:pPr>
      <w:hyperlink w:anchor="beta-identity">
        <w:r>
          <w:rPr>
            <w:rStyle w:val="Hyperlink"/>
          </w:rPr>
          <w:t xml:space="preserve">Beta identity</w:t>
        </w:r>
      </w:hyperlink>
    </w:p>
    <w:p>
      <w:pPr>
        <w:pStyle w:val="Compact"/>
        <w:numPr>
          <w:ilvl w:val="0"/>
          <w:numId w:val="1003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0"/>
          <w:numId w:val="1003"/>
        </w:numPr>
      </w:pPr>
      <w:hyperlink w:anchor="daily-workflow">
        <w:r>
          <w:rPr>
            <w:rStyle w:val="Hyperlink"/>
          </w:rPr>
          <w:t xml:space="preserve">Daily workflow</w:t>
        </w:r>
      </w:hyperlink>
    </w:p>
    <w:p>
      <w:pPr>
        <w:pStyle w:val="Compact"/>
        <w:numPr>
          <w:ilvl w:val="0"/>
          <w:numId w:val="1003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0"/>
          <w:numId w:val="1003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0"/>
          <w:numId w:val="1003"/>
        </w:numPr>
      </w:pPr>
      <w:hyperlink w:anchor="X96df1149949adef27ec03948519fad9c9f5b881">
        <w:r>
          <w:rPr>
            <w:rStyle w:val="Hyperlink"/>
          </w:rPr>
          <w:t xml:space="preserve">Evidence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 outlines and previous cases</w:t>
        </w:r>
      </w:hyperlink>
    </w:p>
    <w:p>
      <w:pPr>
        <w:pStyle w:val="Compact"/>
        <w:numPr>
          <w:ilvl w:val="0"/>
          <w:numId w:val="1003"/>
        </w:numPr>
      </w:pPr>
      <w:hyperlink w:anchor="technical-specifications">
        <w:r>
          <w:rPr>
            <w:rStyle w:val="Hyperlink"/>
          </w:rPr>
          <w:t xml:space="preserve">Technical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specifications</w:t>
        </w:r>
      </w:hyperlink>
    </w:p>
    <w:p>
      <w:pPr>
        <w:pStyle w:val="Compact"/>
        <w:numPr>
          <w:ilvl w:val="0"/>
          <w:numId w:val="1003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0"/>
          <w:numId w:val="1003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0"/>
          <w:numId w:val="1003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0"/>
          <w:numId w:val="1003"/>
        </w:numPr>
      </w:pPr>
      <w:hyperlink w:anchor="security-and-permissions">
        <w:r>
          <w:rPr>
            <w:rStyle w:val="Hyperlink"/>
          </w:rPr>
          <w:t xml:space="preserve">Security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permissions</w:t>
        </w:r>
      </w:hyperlink>
    </w:p>
    <w:p>
      <w:pPr>
        <w:pStyle w:val="Compact"/>
        <w:numPr>
          <w:ilvl w:val="0"/>
          <w:numId w:val="1003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0"/>
          <w:numId w:val="1003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0"/>
          <w:numId w:val="1003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0"/>
          <w:numId w:val="1003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0"/>
          <w:numId w:val="1003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0"/>
          <w:numId w:val="1003"/>
        </w:numPr>
      </w:pPr>
      <w:hyperlink w:anchor="alphabetical-subject-index">
        <w:r>
          <w:rPr>
            <w:rStyle w:val="Hyperlink"/>
          </w:rPr>
          <w:t xml:space="preserve">Alphabetical subject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index</w:t>
        </w:r>
      </w:hyperlink>
    </w:p>
    <w:p>
      <w:pPr>
        <w:pStyle w:val="Compact"/>
        <w:numPr>
          <w:ilvl w:val="0"/>
          <w:numId w:val="1003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End w:id="10"/>
    <w:bookmarkStart w:id="11" w:name="using-this-manual"/>
    <w:p>
      <w:pPr>
        <w:pStyle w:val="Heading2"/>
      </w:pPr>
      <w:r>
        <w:t xml:space="preserve">Using this manual</w:t>
      </w:r>
    </w:p>
    <w:p>
      <w:pPr>
        <w:pStyle w:val="FirstParagraph"/>
      </w:pPr>
      <w:r>
        <w:t xml:space="preserve">Townlight Inspections helps inspectors and authorized reviewing</w:t>
      </w:r>
      <w:r>
        <w:t xml:space="preserve"> </w:t>
      </w:r>
      <w:r>
        <w:t xml:space="preserve">staff. Inspections retains original evidence, supplied observations and</w:t>
      </w:r>
      <w:r>
        <w:t xml:space="preserve"> </w:t>
      </w:r>
      <w:r>
        <w:t xml:space="preserve">optional configured photo/audio analysis, then supports reviewed case</w:t>
      </w:r>
      <w:r>
        <w:t xml:space="preserve"> </w:t>
      </w:r>
      <w:r>
        <w:t xml:space="preserve">workpapers and a separate Records copy. Automatic output is a draft for</w:t>
      </w:r>
      <w:r>
        <w:t xml:space="preserve"> </w:t>
      </w:r>
      <w:r>
        <w:t xml:space="preserve">inspector review.</w:t>
      </w:r>
    </w:p>
    <w:p>
      <w:pPr>
        <w:pStyle w:val="BodyText"/>
      </w:pPr>
      <w:r>
        <w:t xml:space="preserve">Staff should begin with First run and Daily workflow. Administrators</w:t>
      </w:r>
      <w:r>
        <w:t xml:space="preserve"> </w:t>
      </w:r>
      <w:r>
        <w:t xml:space="preserve">should also read Architecture, Technical specifications, Configuration,</w:t>
      </w:r>
      <w:r>
        <w:t xml:space="preserve"> </w:t>
      </w:r>
      <w:r>
        <w:t xml:space="preserve">Security and Recovery. Developers should use the exact API/data</w:t>
      </w:r>
      <w:r>
        <w:t xml:space="preserve"> </w:t>
      </w:r>
      <w:r>
        <w:t xml:space="preserve">dictionary and examples. The table of contents and alphabetical subject</w:t>
      </w:r>
      <w:r>
        <w:t xml:space="preserve"> </w:t>
      </w:r>
      <w:r>
        <w:t xml:space="preserve">index link to the relevant sections in the HTML edition; the PDF</w:t>
      </w:r>
      <w:r>
        <w:t xml:space="preserve"> </w:t>
      </w:r>
      <w:r>
        <w:t xml:space="preserve">preserves headings and searchable text. An editable Word edition is</w:t>
      </w:r>
      <w:r>
        <w:t xml:space="preserve"> </w:t>
      </w:r>
      <w:r>
        <w:t xml:space="preserve">included with the same documentation companion.</w:t>
      </w:r>
    </w:p>
    <w:bookmarkEnd w:id="11"/>
    <w:bookmarkStart w:id="14" w:name="beta-identity"/>
    <w:p>
      <w:pPr>
        <w:pStyle w:val="Heading2"/>
      </w:pPr>
      <w:r>
        <w:t xml:space="preserve">Beta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Townlight Beta 1 naming, Access and Notice candidate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Intended installer version</w:t>
            </w:r>
          </w:p>
        </w:tc>
        <w:tc>
          <w:tcPr/>
          <w:p>
            <w:pPr>
              <w:pStyle w:val="Compact"/>
            </w:pPr>
            <w:r>
              <w:t xml:space="preserve">1.7.0.1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component</w:t>
            </w:r>
          </w:p>
        </w:tc>
        <w:tc>
          <w:tcPr/>
          <w:p>
            <w:pPr>
              <w:pStyle w:val="Compact"/>
            </w:pPr>
            <w:r>
              <w:t xml:space="preserve">townlight-inspections 0.3.0+dev.2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Principal import package</w:t>
            </w:r>
          </w:p>
        </w:tc>
        <w:tc>
          <w:tcPr/>
          <w:p>
            <w:pPr>
              <w:pStyle w:val="Compact"/>
            </w:pPr>
            <w:r>
              <w:t xml:space="preserve">townlight_inspections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Native desktop source version</w:t>
            </w:r>
          </w:p>
        </w:tc>
        <w:tc>
          <w:tcPr/>
          <w:p>
            <w:pPr>
              <w:pStyle w:val="Compact"/>
            </w:pPr>
            <w:r>
              <w:t xml:space="preserve">1.7.0-1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Candidate hashes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SHA-256 checksums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Windows acceptance summary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Current owned software license</w:t>
            </w:r>
          </w:p>
        </w:tc>
        <w:tc>
          <w:tcPr/>
          <w:p>
            <w:pPr>
              <w:pStyle w:val="Compact"/>
            </w:pPr>
            <w:r>
              <w:t xml:space="preserve">AGPL-3.0-only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Acceptance composition</w:t>
            </w:r>
          </w:p>
        </w:tc>
        <w:tc>
          <w:tcPr/>
          <w:p>
            <w:pPr>
              <w:pStyle w:val="Compact"/>
            </w:pPr>
            <w:r>
              <w:t xml:space="preserve">Fresh Windows x64 profile; inspections-preview; Station configured</w:t>
            </w:r>
            <w:r>
              <w:t xml:space="preserve"> </w:t>
            </w:r>
            <w:r>
              <w:t xml:space="preserve">separately</w:t>
            </w:r>
          </w:p>
        </w:tc>
      </w:tr>
    </w:tbl>
    <w:p>
      <w:pPr>
        <w:pStyle w:val="BodyText"/>
      </w:pPr>
      <w:r>
        <w:t xml:space="preserve">Use an empty database and fresh Windows profile. The installer refuses legacy profile initialization. The approved profile path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Keep existing profiles and backups.</w:t>
      </w:r>
    </w:p>
    <w:bookmarkEnd w:id="14"/>
    <w:bookmarkStart w:id="15" w:name="first-run"/>
    <w:p>
      <w:pPr>
        <w:pStyle w:val="Heading2"/>
      </w:pPr>
      <w:r>
        <w:t xml:space="preserve">First run</w:t>
      </w:r>
    </w:p>
    <w:p>
      <w:pPr>
        <w:pStyle w:val="Compact"/>
        <w:numPr>
          <w:ilvl w:val="0"/>
          <w:numId w:val="1004"/>
        </w:numPr>
      </w:pPr>
      <w:r>
        <w:t xml:space="preserve">Download the signed MSI, matching source companion and checksums from the</w:t>
      </w:r>
      <w:r>
        <w:t xml:space="preserve"> </w:t>
      </w:r>
      <w:hyperlink r:id="rId9">
        <w:r>
          <w:rPr>
            <w:rStyle w:val="Hyperlink"/>
          </w:rPr>
          <w:t xml:space="preserve">public Windows release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Verify the MSI hash and Authenticode publisher before installing on a fresh Windows profile. 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the tested setup.</w:t>
      </w:r>
    </w:p>
    <w:p>
      <w:pPr>
        <w:pStyle w:val="Compact"/>
        <w:numPr>
          <w:ilvl w:val="0"/>
          <w:numId w:val="1004"/>
        </w:numPr>
      </w:pPr>
      <w:r>
        <w:t xml:space="preserve">Launch Townlight under the intended named Windows account. Choose</w:t>
      </w:r>
      <w:r>
        <w:t xml:space="preserve"> </w:t>
      </w:r>
      <w:r>
        <w:t xml:space="preserve">the storage folders. Select</w:t>
      </w:r>
      <w:r>
        <w:t xml:space="preserve"> </w:t>
      </w:r>
      <w:r>
        <w:rPr>
          <w:b/>
          <w:bCs/>
        </w:rPr>
        <w:t xml:space="preserve">Townlight Inspections</w:t>
      </w:r>
      <w:r>
        <w:rPr>
          <w:b/>
          <w:bCs/>
        </w:rP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(</w:t>
      </w:r>
      <w:r>
        <w:rPr>
          <w:rStyle w:val="VerbatimChar"/>
        </w:rPr>
        <w:t xml:space="preserve">inspections-preview</w:t>
      </w:r>
      <w:r>
        <w:t xml:space="preserve">) for the bounded</w:t>
      </w:r>
      <w:r>
        <w:t xml:space="preserve"> </w:t>
      </w:r>
      <w:r>
        <w:t xml:space="preserve">desktop composition, including Access and Notice. A narrower default</w:t>
      </w:r>
      <w:r>
        <w:t xml:space="preserve"> </w:t>
      </w:r>
      <w:r>
        <w:t xml:space="preserve">selection will not expose all workspaces.</w:t>
      </w:r>
    </w:p>
    <w:p>
      <w:pPr>
        <w:pStyle w:val="Compact"/>
        <w:numPr>
          <w:ilvl w:val="0"/>
          <w:numId w:val="1004"/>
        </w:numPr>
      </w:pPr>
      <w:r>
        <w:t xml:space="preserve">Enter the city profile, time zone and contacts. Create the first</w:t>
      </w:r>
      <w:r>
        <w:t xml:space="preserve"> </w:t>
      </w:r>
      <w:r>
        <w:t xml:space="preserve">named local administrator, sign in and choose protected backup storage.</w:t>
      </w:r>
      <w:r>
        <w:t xml:space="preserve"> </w:t>
      </w:r>
      <w:r>
        <w:rPr>
          <w:b/>
          <w:bCs/>
        </w:rPr>
        <w:t xml:space="preserve">Continue without local AI</w:t>
      </w:r>
      <w:r>
        <w:t xml:space="preserve"> </w:t>
      </w:r>
      <w:r>
        <w:t xml:space="preserve">is valid for the</w:t>
      </w:r>
      <w:r>
        <w:t xml:space="preserve"> </w:t>
      </w:r>
      <w:r>
        <w:t xml:space="preserve">deterministic workflows.</w:t>
      </w:r>
    </w:p>
    <w:p>
      <w:pPr>
        <w:pStyle w:val="Compact"/>
        <w:numPr>
          <w:ilvl w:val="0"/>
          <w:numId w:val="1004"/>
        </w:numPr>
      </w:pPr>
      <w:r>
        <w:t xml:space="preserve">Run Health Check and wait for readiness. Open Townlight. In System</w:t>
      </w:r>
      <w:r>
        <w:t xml:space="preserve"> </w:t>
      </w:r>
      <w:r>
        <w:t xml:space="preserve">Health select</w:t>
      </w:r>
      <w:r>
        <w:t xml:space="preserve"> </w:t>
      </w:r>
      <w:r>
        <w:rPr>
          <w:b/>
          <w:bCs/>
        </w:rPr>
        <w:t xml:space="preserve">Finish Records Migration</w:t>
      </w:r>
      <w:r>
        <w:t xml:space="preserve"> </w:t>
      </w:r>
      <w:r>
        <w:t xml:space="preserve">to activate the</w:t>
      </w:r>
      <w:r>
        <w:t xml:space="preserve"> </w:t>
      </w:r>
      <w:r>
        <w:t xml:space="preserve">canonical Python/PostgreSQL runtime. Do not fabricate migration receipts</w:t>
      </w:r>
      <w:r>
        <w:t xml:space="preserve"> </w:t>
      </w:r>
      <w:r>
        <w:t xml:space="preserve">or seed accounts.</w:t>
      </w:r>
    </w:p>
    <w:p>
      <w:pPr>
        <w:pStyle w:val="Compact"/>
        <w:numPr>
          <w:ilvl w:val="0"/>
          <w:numId w:val="1004"/>
        </w:numPr>
      </w:pPr>
      <w:r>
        <w:t xml:space="preserve">Create named staff through Settings. Import authorized sources using</w:t>
      </w:r>
      <w:r>
        <w:t xml:space="preserve"> </w:t>
      </w:r>
      <w:r>
        <w:t xml:space="preserve">each product’s source library. All examples in this package are</w:t>
      </w:r>
      <w:r>
        <w:t xml:space="preserve"> </w:t>
      </w:r>
      <w:r>
        <w:t xml:space="preserve">synthetic; they are not municipal authority.</w:t>
      </w:r>
    </w:p>
    <w:p>
      <w:pPr>
        <w:pStyle w:val="Compact"/>
        <w:numPr>
          <w:ilvl w:val="0"/>
          <w:numId w:val="1004"/>
        </w:numPr>
      </w:pPr>
      <w:r>
        <w:t xml:space="preserve">Provision Station separately if it is part of the beta exercise.</w:t>
      </w:r>
      <w:r>
        <w:t xml:space="preserve"> </w:t>
      </w:r>
      <w:r>
        <w:t xml:space="preserve">Selecting the desktop composition does not start or configure Station.</w:t>
      </w:r>
      <w:r>
        <w:t xml:space="preserve"> </w:t>
      </w:r>
      <w:r>
        <w:t xml:space="preserve">Configure vision explicitly only if automatic photo drafting is</w:t>
      </w:r>
      <w:r>
        <w:t xml:space="preserve"> </w:t>
      </w:r>
      <w:r>
        <w:t xml:space="preserve">selected.</w:t>
      </w:r>
    </w:p>
    <w:bookmarkEnd w:id="15"/>
    <w:bookmarkStart w:id="31" w:name="daily-workflow"/>
    <w:p>
      <w:pPr>
        <w:pStyle w:val="Heading2"/>
      </w:pPr>
      <w:r>
        <w:t xml:space="preserve">Daily workflow</w:t>
      </w:r>
    </w:p>
    <w:p>
      <w:pPr>
        <w:pStyle w:val="FirstParagraph"/>
      </w:pPr>
      <w:bookmarkStart w:id="16" w:name="workflow-1"/>
      <w:bookmarkEnd w:id="16"/>
    </w:p>
    <w:bookmarkStart w:id="18" w:name="create-the-case"/>
    <w:p>
      <w:pPr>
        <w:pStyle w:val="Heading3"/>
      </w:pPr>
      <w:r>
        <w:t xml:space="preserve">1. Create the case</w:t>
      </w:r>
    </w:p>
    <w:p>
      <w:pPr>
        <w:pStyle w:val="FirstParagraph"/>
      </w:pPr>
      <w:r>
        <w:t xml:space="preserve">Enter the property/case context and inspector observations. Keep</w:t>
      </w:r>
      <w:r>
        <w:t xml:space="preserve"> </w:t>
      </w:r>
      <w:r>
        <w:t xml:space="preserve">staff-only notes and identifiers in their intended fields. Save before</w:t>
      </w:r>
      <w:r>
        <w:t xml:space="preserve"> </w:t>
      </w:r>
      <w:r>
        <w:t xml:space="preserve">moving away from the workspace.</w:t>
      </w:r>
    </w:p>
    <w:p>
      <w:pPr>
        <w:pStyle w:val="BodyText"/>
      </w:pPr>
      <w:bookmarkStart w:id="17" w:name="workflow-2"/>
      <w:bookmarkEnd w:id="17"/>
    </w:p>
    <w:bookmarkEnd w:id="18"/>
    <w:bookmarkStart w:id="20" w:name="retain-originals"/>
    <w:p>
      <w:pPr>
        <w:pStyle w:val="Heading3"/>
      </w:pPr>
      <w:r>
        <w:t xml:space="preserve">2. Retain originals</w:t>
      </w:r>
    </w:p>
    <w:p>
      <w:pPr>
        <w:pStyle w:val="FirstParagraph"/>
      </w:pPr>
      <w:r>
        <w:t xml:space="preserve">Add original supported files using the existing evidence control.</w:t>
      </w:r>
      <w:r>
        <w:t xml:space="preserve"> </w:t>
      </w:r>
      <w:r>
        <w:t xml:space="preserve">Inspect the filename, size and retained hash. Preserve originals</w:t>
      </w:r>
      <w:r>
        <w:t xml:space="preserve"> </w:t>
      </w:r>
      <w:r>
        <w:t xml:space="preserve">separately from any derivative draft.</w:t>
      </w:r>
    </w:p>
    <w:p>
      <w:pPr>
        <w:pStyle w:val="BodyText"/>
      </w:pPr>
      <w:bookmarkStart w:id="19" w:name="workflow-3"/>
      <w:bookmarkEnd w:id="19"/>
    </w:p>
    <w:bookmarkEnd w:id="20"/>
    <w:bookmarkStart w:id="22" w:name="choose-supplied-or-automatic-text"/>
    <w:p>
      <w:pPr>
        <w:pStyle w:val="Heading3"/>
      </w:pPr>
      <w:r>
        <w:t xml:space="preserve">3. Choose supplied or</w:t>
      </w:r>
      <w:r>
        <w:t xml:space="preserve"> </w:t>
      </w:r>
      <w:r>
        <w:t xml:space="preserve">automatic text</w:t>
      </w:r>
    </w:p>
    <w:p>
      <w:pPr>
        <w:pStyle w:val="FirstParagraph"/>
      </w:pPr>
      <w:r>
        <w:t xml:space="preserve">Use supplied photo observations and a supplied voice summary for</w:t>
      </w:r>
      <w:r>
        <w:t xml:space="preserve"> </w:t>
      </w:r>
      <w:r>
        <w:t xml:space="preserve">deterministic work. If configured, Analyse originals calls the</w:t>
      </w:r>
      <w:r>
        <w:t xml:space="preserve"> </w:t>
      </w:r>
      <w:r>
        <w:t xml:space="preserve">image-capable provider and bundled audio transcriber. Read</w:t>
      </w:r>
      <w:r>
        <w:t xml:space="preserve"> </w:t>
      </w:r>
      <w:r>
        <w:t xml:space="preserve">unavailable/failed results as such; do not label supplied text</w:t>
      </w:r>
      <w:r>
        <w:t xml:space="preserve"> </w:t>
      </w:r>
      <w:r>
        <w:t xml:space="preserve">automatic.</w:t>
      </w:r>
    </w:p>
    <w:p>
      <w:pPr>
        <w:pStyle w:val="BodyText"/>
      </w:pPr>
      <w:bookmarkStart w:id="21" w:name="workflow-4"/>
      <w:bookmarkEnd w:id="21"/>
    </w:p>
    <w:bookmarkEnd w:id="22"/>
    <w:bookmarkStart w:id="24" w:name="review-the-analysis-and-citations"/>
    <w:p>
      <w:pPr>
        <w:pStyle w:val="Heading3"/>
      </w:pPr>
      <w:r>
        <w:t xml:space="preserve">4. Review the analysis and</w:t>
      </w:r>
      <w:r>
        <w:t xml:space="preserve"> </w:t>
      </w:r>
      <w:r>
        <w:t xml:space="preserve">citations</w:t>
      </w:r>
    </w:p>
    <w:p>
      <w:pPr>
        <w:pStyle w:val="FirstParagraph"/>
      </w:pPr>
      <w:r>
        <w:t xml:space="preserve">Compare automatic wording to the original evidence. Correct errors,</w:t>
      </w:r>
      <w:r>
        <w:t xml:space="preserve"> </w:t>
      </w:r>
      <w:r>
        <w:t xml:space="preserve">uncertainty and Code citations. A model output is neither an official</w:t>
      </w:r>
      <w:r>
        <w:t xml:space="preserve"> </w:t>
      </w:r>
      <w:r>
        <w:t xml:space="preserve">finding nor a notice.</w:t>
      </w:r>
    </w:p>
    <w:p>
      <w:pPr>
        <w:pStyle w:val="BodyText"/>
      </w:pPr>
      <w:bookmarkStart w:id="23" w:name="workflow-5"/>
      <w:bookmarkEnd w:id="23"/>
    </w:p>
    <w:bookmarkEnd w:id="24"/>
    <w:bookmarkStart w:id="26" w:name="save-and-record-review"/>
    <w:p>
      <w:pPr>
        <w:pStyle w:val="Heading3"/>
      </w:pPr>
      <w:r>
        <w:t xml:space="preserve">5. Save and record review</w:t>
      </w:r>
    </w:p>
    <w:p>
      <w:pPr>
        <w:pStyle w:val="FirstParagraph"/>
      </w:pPr>
      <w:r>
        <w:t xml:space="preserve">Save the case and explicitly record inspector/staff review of that</w:t>
      </w:r>
      <w:r>
        <w:t xml:space="preserve"> </w:t>
      </w:r>
      <w:r>
        <w:t xml:space="preserve">revision. Later edits create a draft requiring renewed review. Retain</w:t>
      </w:r>
      <w:r>
        <w:t xml:space="preserve"> </w:t>
      </w:r>
      <w:r>
        <w:t xml:space="preserve">the case history.</w:t>
      </w:r>
    </w:p>
    <w:p>
      <w:pPr>
        <w:pStyle w:val="BodyText"/>
      </w:pPr>
      <w:bookmarkStart w:id="25" w:name="workflow-6"/>
      <w:bookmarkEnd w:id="25"/>
    </w:p>
    <w:bookmarkEnd w:id="26"/>
    <w:bookmarkStart w:id="28" w:name="prepare-the-records-copy"/>
    <w:p>
      <w:pPr>
        <w:pStyle w:val="Heading3"/>
      </w:pPr>
      <w:r>
        <w:t xml:space="preserve">6. Prepare the Records copy</w:t>
      </w:r>
    </w:p>
    <w:p>
      <w:pPr>
        <w:pStyle w:val="FirstParagraph"/>
      </w:pPr>
      <w:r>
        <w:t xml:space="preserve">Separately edit and review the public summary. Preview the Records</w:t>
      </w:r>
      <w:r>
        <w:t xml:space="preserve"> </w:t>
      </w:r>
      <w:r>
        <w:t xml:space="preserve">copy and confirm that private observations, property/address detail and</w:t>
      </w:r>
      <w:r>
        <w:t xml:space="preserve"> </w:t>
      </w:r>
      <w:r>
        <w:t xml:space="preserve">staff notes are excluded according to its contract.</w:t>
      </w:r>
    </w:p>
    <w:p>
      <w:pPr>
        <w:pStyle w:val="BodyText"/>
      </w:pPr>
      <w:bookmarkStart w:id="27" w:name="workflow-7"/>
      <w:bookmarkEnd w:id="27"/>
    </w:p>
    <w:bookmarkEnd w:id="28"/>
    <w:bookmarkStart w:id="29" w:name="hand-off-exact-bytes"/>
    <w:p>
      <w:pPr>
        <w:pStyle w:val="Heading3"/>
      </w:pPr>
      <w:r>
        <w:t xml:space="preserve">7. Hand off exact bytes</w:t>
      </w:r>
    </w:p>
    <w:p>
      <w:pPr>
        <w:pStyle w:val="FirstParagraph"/>
      </w:pPr>
      <w:r>
        <w:t xml:space="preserve">Attach the reviewed copy to an existing Records request. Inspect its</w:t>
      </w:r>
      <w:r>
        <w:t xml:space="preserve"> </w:t>
      </w:r>
      <w:r>
        <w:t xml:space="preserve">attachment/hash in Records. Attachment does not issue an enforcement</w:t>
      </w:r>
      <w:r>
        <w:t xml:space="preserve"> </w:t>
      </w:r>
      <w:r>
        <w:t xml:space="preserve">action or approve a public-records response.</w:t>
      </w:r>
    </w:p>
    <w:bookmarkEnd w:id="29"/>
    <w:bookmarkStart w:id="30" w:name="working-safely"/>
    <w:p>
      <w:pPr>
        <w:pStyle w:val="Heading3"/>
      </w:pPr>
      <w:r>
        <w:t xml:space="preserve">Working safely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bookmarkEnd w:id="30"/>
    <w:bookmarkEnd w:id="31"/>
    <w:bookmarkStart w:id="33" w:name="connected-workflows"/>
    <w:p>
      <w:pPr>
        <w:pStyle w:val="Heading2"/>
      </w:pPr>
      <w:r>
        <w:t xml:space="preserve">Connected workflows</w:t>
      </w:r>
    </w:p>
    <w:p>
      <w:pPr>
        <w:pStyle w:val="FirstParagraph"/>
      </w:pPr>
      <w:r>
        <w:t xml:space="preserve">Consumes cited Code and Core contracts; supplies a reviewed copy to</w:t>
      </w:r>
      <w:r>
        <w:t xml:space="preserve"> </w:t>
      </w:r>
      <w:r>
        <w:t xml:space="preserve">Records. It does not imply an automatic permit-system or</w:t>
      </w:r>
      <w:r>
        <w:t xml:space="preserve"> </w:t>
      </w:r>
      <w:r>
        <w:t xml:space="preserve">enforcement-system writeback.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Inspector-supplied text, original supported photographs or audio, a</w:t>
            </w:r>
            <w:r>
              <w:t xml:space="preserve"> </w:t>
            </w:r>
            <w:r>
              <w:t xml:space="preserve">configured image-capable provider when photo analysis is selected, and</w:t>
            </w:r>
            <w:r>
              <w:t xml:space="preserve"> </w:t>
            </w:r>
            <w:r>
              <w:t xml:space="preserve">permitted Code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Retained evidence with provenance, editable automatic drafts where</w:t>
            </w:r>
            <w:r>
              <w:t xml:space="preserve"> </w:t>
            </w:r>
            <w:r>
              <w:t xml:space="preserve">configured, reviewed cases and exact audience-specific packets.</w:t>
            </w:r>
          </w:p>
        </w:tc>
      </w:tr>
    </w:tbl>
    <w:bookmarkStart w:id="32" w:name="product-boundary"/>
    <w:p>
      <w:pPr>
        <w:pStyle w:val="Heading3"/>
      </w:pPr>
      <w:r>
        <w:t xml:space="preserve">Product boundary</w:t>
      </w:r>
    </w:p>
    <w:p>
      <w:pPr>
        <w:pStyle w:val="FirstParagraph"/>
      </w:pPr>
      <w:r>
        <w:t xml:space="preserve">The bundled Whistle CPU engine executes raw-audio transcription.</w:t>
      </w:r>
      <w:r>
        <w:t xml:space="preserve"> </w:t>
      </w:r>
      <w:r>
        <w:t xml:space="preserve">Automatic photo analysis requires explicit vision configuration; missing</w:t>
      </w:r>
      <w:r>
        <w:t xml:space="preserve"> </w:t>
      </w:r>
      <w:r>
        <w:t xml:space="preserve">configuration reports unavailable. Synthetic execution proves that</w:t>
      </w:r>
      <w:r>
        <w:t xml:space="preserve"> </w:t>
      </w:r>
      <w:r>
        <w:t xml:space="preserve">adapters run, not field recognition accuracy. No official citation/fine</w:t>
      </w:r>
      <w:r>
        <w:t xml:space="preserve"> </w:t>
      </w:r>
      <w:r>
        <w:t xml:space="preserve">issuance, inspection scheduling or enforcement-system writeback is</w:t>
      </w:r>
      <w:r>
        <w:t xml:space="preserve"> </w:t>
      </w:r>
      <w:r>
        <w:t xml:space="preserve">provided.</w:t>
      </w:r>
    </w:p>
    <w:bookmarkEnd w:id="32"/>
    <w:bookmarkEnd w:id="33"/>
    <w:bookmarkStart w:id="37" w:name="architecture"/>
    <w:p>
      <w:pPr>
        <w:pStyle w:val="Heading2"/>
      </w:pPr>
      <w:r>
        <w:t xml:space="preserve">Architecture</w:t>
      </w:r>
    </w:p>
    <w:p>
      <w:pPr>
        <w:pStyle w:val="CaptionedFigure"/>
      </w:pPr>
      <w:r>
        <w:drawing>
          <wp:inline>
            <wp:extent cx="5334000" cy="1889125"/>
            <wp:effectExtent b="0" l="0" r="0" t="0"/>
            <wp:docPr descr="Townlight Inspections architecture and evidence flow" title="" id="35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inspections-architectur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Townlight Inspections architecture and</w:t>
      </w:r>
      <w:r>
        <w:t xml:space="preserve"> </w:t>
      </w:r>
      <w:r>
        <w:t xml:space="preserve">evidence flow</w:t>
      </w:r>
    </w:p>
    <w:p>
      <w:pPr>
        <w:pStyle w:val="BodyText"/>
      </w:pPr>
      <w:r>
        <w:t xml:space="preserve">The drawing shows the principal staff/evidence path. Native commands</w:t>
      </w:r>
      <w:r>
        <w:t xml:space="preserve"> </w:t>
      </w:r>
      <w:r>
        <w:t xml:space="preserve">carry trusted identity to Python business services; PostgreSQL and</w:t>
      </w:r>
      <w:r>
        <w:t xml:space="preserve"> </w:t>
      </w:r>
      <w:r>
        <w:t xml:space="preserve">retained original files hold durable state. A downstream copy does not</w:t>
      </w:r>
      <w:r>
        <w:t xml:space="preserve"> </w:t>
      </w:r>
      <w:r>
        <w:t xml:space="preserve">silently transfer decision authority. Station has its own configured</w:t>
      </w:r>
      <w:r>
        <w:t xml:space="preserve"> </w:t>
      </w:r>
      <w:r>
        <w:t xml:space="preserve">authority/media boundary, database and mutable files. The</w:t>
      </w:r>
      <w:r>
        <w:t xml:space="preserve"> </w:t>
      </w:r>
      <w:r>
        <w:t xml:space="preserve">connected-workflow text supplies the drawing’s reading order and</w:t>
      </w:r>
      <w:r>
        <w:t xml:space="preserve"> </w:t>
      </w:r>
      <w:r>
        <w:t xml:space="preserve">accessibility alternative.</w:t>
      </w:r>
    </w:p>
    <w:bookmarkEnd w:id="37"/>
    <w:bookmarkStart w:id="43" w:name="X96df1149949adef27ec03948519fad9c9f5b881"/>
    <w:p>
      <w:pPr>
        <w:pStyle w:val="Heading2"/>
      </w:pPr>
      <w:r>
        <w:t xml:space="preserve">Evidence limits</w:t>
      </w:r>
      <w:r>
        <w:t xml:space="preserve"> </w:t>
      </w:r>
      <w:r>
        <w:t xml:space="preserve">outlines and previous cases</w:t>
      </w:r>
    </w:p>
    <w:bookmarkStart w:id="38" w:name="select-supported-original-files"/>
    <w:p>
      <w:pPr>
        <w:pStyle w:val="Heading3"/>
      </w:pPr>
      <w:r>
        <w:t xml:space="preserve">Select supported original</w:t>
      </w:r>
      <w:r>
        <w:t xml:space="preserve"> </w:t>
      </w:r>
      <w:r>
        <w:t xml:space="preserve">files</w:t>
      </w:r>
    </w:p>
    <w:p>
      <w:pPr>
        <w:pStyle w:val="FirstParagraph"/>
      </w:pPr>
      <w:r>
        <w:t xml:space="preserve">The retained-original contract accepts the following MIME types, up</w:t>
      </w:r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10,000,000 bytes per original</w:t>
      </w:r>
      <w:r>
        <w:t xml:space="preserve">. This is a decimal</w:t>
      </w:r>
      <w:r>
        <w:t xml:space="preserve"> </w:t>
      </w:r>
      <w:r>
        <w:t xml:space="preserve">byte limit, not 10 MiB. An unsupported type or oversized file is</w:t>
      </w:r>
      <w:r>
        <w:t xml:space="preserve"> </w:t>
      </w:r>
      <w:r>
        <w:t xml:space="preserve">refused; preserve the original outside the import and choose a supported</w:t>
      </w:r>
      <w:r>
        <w:t xml:space="preserve"> </w:t>
      </w:r>
      <w:r>
        <w:t xml:space="preserve">derivative deliberately rather than changing its filename to disguise</w:t>
      </w:r>
      <w:r>
        <w:t xml:space="preserve"> </w:t>
      </w:r>
      <w:r>
        <w:t xml:space="preserve">the type.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Material</w:t>
            </w:r>
          </w:p>
        </w:tc>
        <w:tc>
          <w:tcPr/>
          <w:p>
            <w:pPr>
              <w:pStyle w:val="Compact"/>
            </w:pPr>
            <w:r>
              <w:t xml:space="preserve">Accepted MIME types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Photographs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image/jpeg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image/png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image/webp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audio/webm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audio/ogg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audio/wav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audio/mpeg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audio/mp4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Plain text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text/plain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application/pdf</w:t>
            </w:r>
          </w:p>
        </w:tc>
      </w:tr>
    </w:tbl>
    <w:p>
      <w:pPr>
        <w:pStyle w:val="BodyText"/>
      </w:pPr>
      <w:r>
        <w:t xml:space="preserve">The case input bounds evidence to ten items; the browser’s</w:t>
      </w:r>
      <w:r>
        <w:t xml:space="preserve"> </w:t>
      </w:r>
      <w:r>
        <w:t xml:space="preserve">upload-body guard can be more restrictive when encoding/combining files.</w:t>
      </w:r>
      <w:r>
        <w:t xml:space="preserve"> </w:t>
      </w:r>
      <w:r>
        <w:t xml:space="preserve">Read the actual refusal and reduce the selected batch rather than</w:t>
      </w:r>
      <w:r>
        <w:t xml:space="preserve"> </w:t>
      </w:r>
      <w:r>
        <w:t xml:space="preserve">assuming the per-file limit guarantees the entire request will fit.</w:t>
      </w:r>
      <w:r>
        <w:t xml:space="preserve"> </w:t>
      </w:r>
      <w:r>
        <w:t xml:space="preserve">Accepted retention of text/PDF does not promise photo analysis of that</w:t>
      </w:r>
      <w:r>
        <w:t xml:space="preserve"> </w:t>
      </w:r>
      <w:r>
        <w:t xml:space="preserve">format. Configure an image-capable vision model for photographs. Whistle</w:t>
      </w:r>
      <w:r>
        <w:t xml:space="preserve"> </w:t>
      </w:r>
      <w:r>
        <w:t xml:space="preserve">handles supported raw audio when provisioned; TextFlowKit is a</w:t>
      </w:r>
      <w:r>
        <w:t xml:space="preserve"> </w:t>
      </w:r>
      <w:r>
        <w:t xml:space="preserve">separately configured alternative. Missing configuration is unavailable,</w:t>
      </w:r>
      <w:r>
        <w:t xml:space="preserve"> </w:t>
      </w:r>
      <w:r>
        <w:t xml:space="preserve">not a fabricated successful analysis.</w:t>
      </w:r>
    </w:p>
    <w:p>
      <w:pPr>
        <w:pStyle w:val="BodyText"/>
      </w:pPr>
      <w:r>
        <w:t xml:space="preserve">Retain the original filename, MIME type, byte count and SHA256.</w:t>
      </w:r>
      <w:r>
        <w:t xml:space="preserve"> </w:t>
      </w:r>
      <w:r>
        <w:t xml:space="preserve">Compare generated observations/transcript with the evidence, correct the</w:t>
      </w:r>
      <w:r>
        <w:t xml:space="preserve"> </w:t>
      </w:r>
      <w:r>
        <w:t xml:space="preserve">draft and record review of the saved case revision. Supplied photo</w:t>
      </w:r>
      <w:r>
        <w:t xml:space="preserve"> </w:t>
      </w:r>
      <w:r>
        <w:t xml:space="preserve">observations or a supplied voice summary must remain labeled supplied</w:t>
      </w:r>
      <w:r>
        <w:t xml:space="preserve"> </w:t>
      </w:r>
      <w:r>
        <w:t xml:space="preserve">text.</w:t>
      </w:r>
    </w:p>
    <w:bookmarkEnd w:id="38"/>
    <w:bookmarkStart w:id="40" w:name="find-earlier-retained-cases"/>
    <w:p>
      <w:pPr>
        <w:pStyle w:val="Heading3"/>
      </w:pPr>
      <w:r>
        <w:t xml:space="preserve">Find earlier retained cases</w:t>
      </w:r>
    </w:p>
    <w:p>
      <w:pPr>
        <w:pStyle w:val="FirstParagraph"/>
      </w:pPr>
      <w:r>
        <w:t xml:space="preserve">Use the existing repeat-case lookup or authenticated</w:t>
      </w:r>
      <w:r>
        <w:t xml:space="preserve"> </w:t>
      </w:r>
      <w:r>
        <w:rPr>
          <w:rStyle w:val="VerbatimChar"/>
        </w:rPr>
        <w:t xml:space="preserve">POST /desktop/v1/inspections/repeat-cases</w:t>
      </w:r>
      <w:r>
        <w:t xml:space="preserve"> </w:t>
      </w:r>
      <w:r>
        <w:t xml:space="preserve">with:</w:t>
      </w:r>
    </w:p>
    <w:bookmarkStart w:id="39" w:name="cb1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"property_reference"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parcel A"</w:t>
      </w:r>
      <w:r>
        <w:rPr>
          <w:rStyle w:val="FunctionTok"/>
        </w:rPr>
        <w:t xml:space="preserve">}</w:t>
      </w:r>
    </w:p>
    <w:bookmarkEnd w:id="39"/>
    <w:p>
      <w:pPr>
        <w:pStyle w:val="FirstParagraph"/>
      </w:pPr>
      <w:r>
        <w:t xml:space="preserve">Use the same property reference as the saved synthetic case. The</w:t>
      </w:r>
      <w:r>
        <w:t xml:space="preserve"> </w:t>
      </w:r>
      <w:r>
        <w:t xml:space="preserve">mounted implementation matches the normalized property reference against</w:t>
      </w:r>
      <w:r>
        <w:t xml:space="preserve"> </w:t>
      </w:r>
      <w:r>
        <w:t xml:space="preserve">saved case heads, verifies each revision hash and returns up to 50</w:t>
      </w:r>
      <w:r>
        <w:t xml:space="preserve"> </w:t>
      </w:r>
      <w:r>
        <w:t xml:space="preserve">entries with entity/revision identity, title and review state, plus</w:t>
      </w:r>
      <w:r>
        <w:t xml:space="preserve"> </w:t>
      </w:r>
      <w:r>
        <w:rPr>
          <w:rStyle w:val="VerbatimChar"/>
        </w:rPr>
        <w:t xml:space="preserve">sample_data: false</w:t>
      </w:r>
      <w:r>
        <w:t xml:space="preserve">. Empty results mean no matching retained</w:t>
      </w:r>
      <w:r>
        <w:t xml:space="preserve"> </w:t>
      </w:r>
      <w:r>
        <w:t xml:space="preserve">cases in this store. This is separate from the lower-level</w:t>
      </w:r>
      <w:r>
        <w:t xml:space="preserve"> </w:t>
      </w:r>
      <w:r>
        <w:rPr>
          <w:rStyle w:val="VerbatimChar"/>
        </w:rPr>
        <w:t xml:space="preserve">townlight_inspections.case_lookup.lookup_repeat_cases</w:t>
      </w:r>
      <w:r>
        <w:t xml:space="preserve"> </w:t>
      </w:r>
      <w:r>
        <w:t xml:space="preserve">helper, which returns sample context and is not the mounted saved-case</w:t>
      </w:r>
      <w:r>
        <w:t xml:space="preserve"> </w:t>
      </w:r>
      <w:r>
        <w:t xml:space="preserve">query. Neither route queries an external enforcement system. Keep any</w:t>
      </w:r>
      <w:r>
        <w:t xml:space="preserve"> </w:t>
      </w:r>
      <w:r>
        <w:t xml:space="preserve">real prior case identity and facts separate from a model’s proposed</w:t>
      </w:r>
      <w:r>
        <w:t xml:space="preserve"> </w:t>
      </w:r>
      <w:r>
        <w:t xml:space="preserve">narrative. No GIS capture or external enforcement-system connection is</w:t>
      </w:r>
      <w:r>
        <w:t xml:space="preserve"> </w:t>
      </w:r>
      <w:r>
        <w:t xml:space="preserve">implied.</w:t>
      </w:r>
    </w:p>
    <w:bookmarkEnd w:id="40"/>
    <w:bookmarkStart w:id="42" w:name="prepare-an-outline-for-review"/>
    <w:p>
      <w:pPr>
        <w:pStyle w:val="Heading3"/>
      </w:pPr>
      <w:r>
        <w:t xml:space="preserve">Prepare an outline for</w:t>
      </w:r>
      <w:r>
        <w:t xml:space="preserve"> </w:t>
      </w:r>
      <w:r>
        <w:t xml:space="preserve">review</w:t>
      </w:r>
    </w:p>
    <w:p>
      <w:pPr>
        <w:pStyle w:val="FirstParagraph"/>
      </w:pPr>
      <w:r>
        <w:t xml:space="preserve">The mounted</w:t>
      </w:r>
      <w:r>
        <w:t xml:space="preserve"> </w:t>
      </w:r>
      <w:r>
        <w:rPr>
          <w:rStyle w:val="VerbatimChar"/>
        </w:rPr>
        <w:t xml:space="preserve">POST /desktop/v1/inspections/notice-draft</w:t>
      </w:r>
      <w:r>
        <w:t xml:space="preserve"> </w:t>
      </w:r>
      <w:r>
        <w:t xml:space="preserve">accepts the same</w:t>
      </w:r>
      <w:r>
        <w:t xml:space="preserve"> </w:t>
      </w:r>
      <w:r>
        <w:rPr>
          <w:rStyle w:val="VerbatimChar"/>
        </w:rPr>
        <w:t xml:space="preserve">InspectionInput</w:t>
      </w:r>
      <w:r>
        <w:t xml:space="preserve"> </w:t>
      </w:r>
      <w:r>
        <w:t xml:space="preserve">shape as the saved</w:t>
      </w:r>
      <w:r>
        <w:t xml:space="preserve"> </w:t>
      </w:r>
      <w:r>
        <w:t xml:space="preserve">workflow, not an arbitrary notice recipient or enforcement command. For</w:t>
      </w:r>
      <w:r>
        <w:t xml:space="preserve"> </w:t>
      </w:r>
      <w:r>
        <w:t xml:space="preserve">example:</w:t>
      </w:r>
    </w:p>
    <w:bookmarkStart w:id="41" w:name="cb2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review"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"property_reference"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parcel A"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"inspection_reference"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"SYN-001"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"dataset_kind"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"fictional"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"inspector_notes"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loose panel observed"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"photo_observations"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</w:t>
      </w:r>
      <w:r>
        <w:rPr>
          <w:rStyle w:val="StringTok"/>
        </w:rPr>
        <w:t xml:space="preserve">"Synthetic panel appears loose"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"voice_notes"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"Inspector supplied summary"</w:t>
      </w:r>
      <w:r>
        <w:rPr>
          <w:rStyle w:val="FunctionTok"/>
        </w:rPr>
        <w:t xml:space="preserve">}</w:t>
      </w:r>
    </w:p>
    <w:bookmarkEnd w:id="41"/>
    <w:p>
      <w:pPr>
        <w:pStyle w:val="FirstParagraph"/>
      </w:pPr>
      <w:r>
        <w:t xml:space="preserve">Inspect the returned draft/outline and its limitations. The</w:t>
      </w:r>
      <w:r>
        <w:t xml:space="preserve"> </w:t>
      </w:r>
      <w:r>
        <w:t xml:space="preserve">lower-level</w:t>
      </w:r>
      <w:r>
        <w:t xml:space="preserve"> </w:t>
      </w:r>
      <w:r>
        <w:rPr>
          <w:rStyle w:val="VerbatimChar"/>
        </w:rPr>
        <w:t xml:space="preserve">townlight_inspections.notice_draft.draft_notice</w:t>
      </w:r>
      <w:r>
        <w:t xml:space="preserve"> </w:t>
      </w:r>
      <w:r>
        <w:t xml:space="preserve">takes case identity, property reference, violation type and supplied</w:t>
      </w:r>
      <w:r>
        <w:t xml:space="preserve"> </w:t>
      </w:r>
      <w:r>
        <w:t xml:space="preserve">observations. This source helper supplies a reviewable outline; it does</w:t>
      </w:r>
      <w:r>
        <w:t xml:space="preserve"> </w:t>
      </w:r>
      <w:r>
        <w:t xml:space="preserve">not issue a citation, serve notice, choose an official fine or make an</w:t>
      </w:r>
      <w:r>
        <w:t xml:space="preserve"> </w:t>
      </w:r>
      <w:r>
        <w:t xml:space="preserve">enforcement determination. Where no native button exists, technical</w:t>
      </w:r>
      <w:r>
        <w:t xml:space="preserve"> </w:t>
      </w:r>
      <w:r>
        <w:t xml:space="preserve">staff use the current authenticated API rather than an invented</w:t>
      </w:r>
      <w:r>
        <w:t xml:space="preserve"> </w:t>
      </w:r>
      <w:r>
        <w:t xml:space="preserve">screen.</w:t>
      </w:r>
    </w:p>
    <w:p>
      <w:pPr>
        <w:pStyle w:val="BodyText"/>
      </w:pPr>
      <w:r>
        <w:t xml:space="preserve">Revise the saved case’s</w:t>
      </w:r>
      <w:r>
        <w:t xml:space="preserve"> </w:t>
      </w:r>
      <w:r>
        <w:rPr>
          <w:rStyle w:val="VerbatimChar"/>
        </w:rPr>
        <w:t xml:space="preserve">notice_draft</w:t>
      </w:r>
      <w:r>
        <w:t xml:space="preserve"> </w:t>
      </w:r>
      <w:r>
        <w:t xml:space="preserve">only after checking</w:t>
      </w:r>
      <w:r>
        <w:t xml:space="preserve"> </w:t>
      </w:r>
      <w:r>
        <w:t xml:space="preserve">the actual evidence and applicable Code source. Save and record review</w:t>
      </w:r>
      <w:r>
        <w:t xml:space="preserve"> </w:t>
      </w:r>
      <w:r>
        <w:t xml:space="preserve">again; a new revision does not inherit the previous review. The staff</w:t>
      </w:r>
      <w:r>
        <w:t xml:space="preserve"> </w:t>
      </w:r>
      <w:r>
        <w:t xml:space="preserve">packet and separately reviewed Records copy retain their existing</w:t>
      </w:r>
      <w:r>
        <w:t xml:space="preserve"> </w:t>
      </w:r>
      <w:r>
        <w:t xml:space="preserve">audience/exclusion rules. A drafted outline is neither a Records release</w:t>
      </w:r>
      <w:r>
        <w:t xml:space="preserve"> </w:t>
      </w:r>
      <w:r>
        <w:t xml:space="preserve">nor proof that a notice was delivered.</w:t>
      </w:r>
    </w:p>
    <w:p>
      <w:pPr>
        <w:pStyle w:val="BodyText"/>
      </w:pPr>
      <w:r>
        <w:t xml:space="preserve">Source contracts:</w:t>
      </w:r>
      <w:r>
        <w:t xml:space="preserve"> </w:t>
      </w:r>
      <w:r>
        <w:rPr>
          <w:rStyle w:val="VerbatimChar"/>
        </w:rPr>
        <w:t xml:space="preserve">townlight_inspections/media_analysis.py</w:t>
      </w:r>
      <w:r>
        <w:t xml:space="preserve">,</w:t>
      </w:r>
      <w:r>
        <w:t xml:space="preserve"> </w:t>
      </w:r>
      <w:r>
        <w:rPr>
          <w:rStyle w:val="VerbatimChar"/>
        </w:rPr>
        <w:t xml:space="preserve">case_lookup.py</w:t>
      </w:r>
      <w:r>
        <w:t xml:space="preserve">,</w:t>
      </w:r>
      <w:r>
        <w:t xml:space="preserve"> </w:t>
      </w:r>
      <w:r>
        <w:rPr>
          <w:rStyle w:val="VerbatimChar"/>
        </w:rPr>
        <w:t xml:space="preserve">notice_draft.py</w:t>
      </w:r>
      <w:r>
        <w:t xml:space="preserve">, workflow</w:t>
      </w:r>
      <w:r>
        <w:t xml:space="preserve"> </w:t>
      </w:r>
      <w:r>
        <w:t xml:space="preserve">models and</w:t>
      </w:r>
      <w:r>
        <w:t xml:space="preserve"> </w:t>
      </w:r>
      <w:r>
        <w:rPr>
          <w:rStyle w:val="VerbatimChar"/>
        </w:rPr>
        <w:t xml:space="preserve">townlight_runtime/inspections_bridge.py</w:t>
      </w:r>
      <w:r>
        <w:t xml:space="preserve">.</w:t>
      </w:r>
    </w:p>
    <w:bookmarkEnd w:id="42"/>
    <w:bookmarkEnd w:id="43"/>
    <w:bookmarkStart w:id="49" w:name="technical-specifications"/>
    <w:p>
      <w:pPr>
        <w:pStyle w:val="Heading2"/>
      </w:pPr>
      <w:r>
        <w:t xml:space="preserve">Technical specifications</w:t>
      </w:r>
    </w:p>
    <w:bookmarkStart w:id="44" w:name="runtime-and-storage"/>
    <w:p>
      <w:pPr>
        <w:pStyle w:val="Heading3"/>
      </w:pPr>
      <w:r>
        <w:t xml:space="preserve">Runtime and storage</w:t>
      </w:r>
    </w:p>
    <w:p>
      <w:pPr>
        <w:pStyle w:val="FirstParagraph"/>
      </w:pPr>
      <w:r>
        <w:t xml:space="preserve">The accepted package targets</w:t>
      </w:r>
      <w:r>
        <w:t xml:space="preserve"> </w:t>
      </w:r>
      <w:r>
        <w:rPr>
          <w:b/>
          <w:bCs/>
        </w:rPr>
        <w:t xml:space="preserve">Windows x64 fresh</w:t>
      </w:r>
      <w:r>
        <w:rPr>
          <w:b/>
          <w:bCs/>
        </w:rPr>
        <w:t xml:space="preserve"> </w:t>
      </w:r>
      <w:r>
        <w:rPr>
          <w:b/>
          <w:bCs/>
        </w:rPr>
        <w:t xml:space="preserve">installation</w:t>
      </w:r>
      <w:r>
        <w:t xml:space="preserve">. Its native shell uses</w:t>
      </w:r>
      <w:r>
        <w:t xml:space="preserve"> </w:t>
      </w:r>
      <w:r>
        <w:rPr>
          <w:b/>
          <w:bCs/>
        </w:rPr>
        <w:t xml:space="preserve">Rust 2021, Tauri 2</w:t>
      </w:r>
      <w:r>
        <w:rPr>
          <w:b/>
          <w:bCs/>
        </w:rPr>
        <w:t xml:space="preserve"> </w:t>
      </w:r>
      <w:r>
        <w:rPr>
          <w:b/>
          <w:bCs/>
        </w:rPr>
        <w:t xml:space="preserve">and Microsoft WebView2</w:t>
      </w:r>
      <w:r>
        <w:t xml:space="preserve">; browser assets are JavaScript built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Vite 8.1.6</w:t>
      </w:r>
      <w:r>
        <w:t xml:space="preserve">. This describes the native desktop</w:t>
      </w:r>
      <w:r>
        <w:t xml:space="preserve"> </w:t>
      </w:r>
      <w:r>
        <w:t xml:space="preserve">frontend; Station has a separate React operator, specified below or in</w:t>
      </w:r>
      <w:r>
        <w:t xml:space="preserve"> </w:t>
      </w:r>
      <w:r>
        <w:t xml:space="preserve">its product manual. Canonical business workflows use bundled</w:t>
      </w:r>
      <w:r>
        <w:t xml:space="preserve"> </w:t>
      </w:r>
      <w:r>
        <w:rPr>
          <w:b/>
          <w:bCs/>
        </w:rPr>
        <w:t xml:space="preserve">CPython 3.13.5, FastAPI, Pydantic, SQLAlchemy and</w:t>
      </w:r>
      <w:r>
        <w:rPr>
          <w:b/>
          <w:bCs/>
        </w:rPr>
        <w:t xml:space="preserve"> </w:t>
      </w:r>
      <w:r>
        <w:rPr>
          <w:b/>
          <w:bCs/>
        </w:rPr>
        <w:t xml:space="preserve">Alembic</w:t>
      </w:r>
      <w:r>
        <w:t xml:space="preserve">, with</w:t>
      </w:r>
      <w:r>
        <w:t xml:space="preserve"> </w:t>
      </w:r>
      <w:r>
        <w:rPr>
          <w:b/>
          <w:bCs/>
        </w:rPr>
        <w:t xml:space="preserve">PostgreSQL 17 / PostGIS</w:t>
      </w:r>
      <w:r>
        <w:t xml:space="preserve"> </w:t>
      </w:r>
      <w:r>
        <w:t xml:space="preserve">and</w:t>
      </w:r>
      <w:r>
        <w:t xml:space="preserve"> </w:t>
      </w:r>
      <w:r>
        <w:t xml:space="preserve">managed original files. The installed runtime tested here contains</w:t>
      </w:r>
      <w:r>
        <w:t xml:space="preserve"> </w:t>
      </w:r>
      <w:r>
        <w:t xml:space="preserve">FastAPI 0.162.0. Package minimum Python requirements can differ from the</w:t>
      </w:r>
      <w:r>
        <w:t xml:space="preserve"> </w:t>
      </w:r>
      <w:r>
        <w:t xml:space="preserve">bundled executable; the metadata reference preserves both. No stack</w:t>
      </w:r>
      <w:r>
        <w:t xml:space="preserve"> </w:t>
      </w:r>
      <w:r>
        <w:t xml:space="preserve">rewrite is implied by the beta label.</w:t>
      </w:r>
    </w:p>
    <w:p>
      <w:pPr>
        <w:pStyle w:val="BodyText"/>
      </w:pPr>
      <w:r>
        <w:t xml:space="preserve">The native transport is fixed to loopback</w:t>
      </w:r>
      <w:r>
        <w:t xml:space="preserve"> </w:t>
      </w:r>
      <w:r>
        <w:rPr>
          <w:rStyle w:val="VerbatimChar"/>
        </w:rPr>
        <w:t xml:space="preserve">127.0.0.1:15480</w:t>
      </w:r>
      <w:r>
        <w:t xml:space="preserve">; PostgreSQL uses the configured local</w:t>
      </w:r>
      <w:r>
        <w:t xml:space="preserve"> </w:t>
      </w:r>
      <w:r>
        <w:t xml:space="preserve">runtime port (default</w:t>
      </w:r>
      <w:r>
        <w:t xml:space="preserve"> </w:t>
      </w:r>
      <w:r>
        <w:rPr>
          <w:rStyle w:val="VerbatimChar"/>
        </w:rPr>
        <w:t xml:space="preserve">15432</w:t>
      </w:r>
      <w:r>
        <w:t xml:space="preserve">). Optional local model service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127.0.0.1:15434</w:t>
      </w:r>
      <w:r>
        <w:t xml:space="preserve">. Those are deployment defaults,</w:t>
      </w:r>
      <w:r>
        <w:t xml:space="preserve"> </w:t>
      </w:r>
      <w:r>
        <w:t xml:space="preserve">not internet endpoints. The runtime has health, module and readiness</w:t>
      </w:r>
      <w:r>
        <w:t xml:space="preserve"> </w:t>
      </w:r>
      <w:r>
        <w:t xml:space="preserve">endpoints; readiness is stronger than process existence. The task queue</w:t>
      </w:r>
      <w:r>
        <w:t xml:space="preserve"> </w:t>
      </w:r>
      <w:r>
        <w:t xml:space="preserve">is the existing local Core task infrastructure, not an assertion that a</w:t>
      </w:r>
      <w:r>
        <w:t xml:space="preserve"> </w:t>
      </w:r>
      <w:r>
        <w:t xml:space="preserve">separate Redis service is required for this desktop composition.</w:t>
      </w:r>
    </w:p>
    <w:p>
      <w:pPr>
        <w:pStyle w:val="BodyText"/>
      </w:pPr>
      <w:r>
        <w:t xml:space="preserve">The default native profile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;</w:t>
      </w:r>
      <w:r>
        <w:t xml:space="preserve"> </w:t>
      </w:r>
      <w:r>
        <w:t xml:space="preserve">the historical directory name remains part of compatibility. Do not</w:t>
      </w:r>
      <w:r>
        <w:t xml:space="preserve"> </w:t>
      </w:r>
      <w:r>
        <w:t xml:space="preserve">rename it to Townlight. A configured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 </w:t>
      </w:r>
      <w:r>
        <w:t xml:space="preserve">must be absolute. Local configuration and secrets live under that</w:t>
      </w:r>
      <w:r>
        <w:t xml:space="preserve"> </w:t>
      </w:r>
      <w:r>
        <w:t xml:space="preserve">profile; protected managed files and database state must be backed up</w:t>
      </w:r>
      <w:r>
        <w:t xml:space="preserve"> </w:t>
      </w:r>
      <w:r>
        <w:t xml:space="preserve">coherently. Source/runtime identity is distinct from a product’s display</w:t>
      </w:r>
      <w:r>
        <w:t xml:space="preserve"> </w:t>
      </w:r>
      <w:r>
        <w:t xml:space="preserve">label.</w:t>
      </w:r>
    </w:p>
    <w:bookmarkEnd w:id="44"/>
    <w:bookmarkStart w:id="45" w:name="data-and-consistency"/>
    <w:p>
      <w:pPr>
        <w:pStyle w:val="Heading3"/>
      </w:pPr>
      <w:r>
        <w:t xml:space="preserve">Data and consistency</w:t>
      </w:r>
    </w:p>
    <w:p>
      <w:pPr>
        <w:pStyle w:val="FirstParagraph"/>
      </w:pPr>
      <w:r>
        <w:t xml:space="preserve">Original evidence files and hashes; media analysis records;</w:t>
      </w:r>
      <w:r>
        <w:t xml:space="preserve"> </w:t>
      </w:r>
      <w:r>
        <w:t xml:space="preserve">observations and voice summaries; Code citations; case revisions; review</w:t>
      </w:r>
      <w:r>
        <w:t xml:space="preserve"> </w:t>
      </w:r>
      <w:r>
        <w:t xml:space="preserve">records; private packets and separately edited Records copies.</w:t>
      </w:r>
    </w:p>
    <w:p>
      <w:pPr>
        <w:pStyle w:val="BodyText"/>
      </w:pPr>
      <w:r>
        <w:t xml:space="preserve">Versioned saves use expected prior revision identifiers where</w:t>
      </w:r>
      <w:r>
        <w:t xml:space="preserve"> </w:t>
      </w:r>
      <w:r>
        <w:t xml:space="preserve">defined. Reopen and reconcile on conflict. Exact exports and handoffs</w:t>
      </w:r>
      <w:r>
        <w:t xml:space="preserve"> </w:t>
      </w:r>
      <w:r>
        <w:t xml:space="preserve">use source IDs, current visibility, revision and SHA256. Review belongs</w:t>
      </w:r>
      <w:r>
        <w:t xml:space="preserve"> </w:t>
      </w:r>
      <w:r>
        <w:t xml:space="preserve">to the saved revision and does not transfer silently to edited text.</w:t>
      </w:r>
      <w:r>
        <w:t xml:space="preserve"> </w:t>
      </w:r>
      <w:r>
        <w:t xml:space="preserve">Database changes use the owning product’s migrations; a request or</w:t>
      </w:r>
      <w:r>
        <w:t xml:space="preserve"> </w:t>
      </w:r>
      <w:r>
        <w:t xml:space="preserve">readiness check is not an authorization to mutate schema.</w:t>
      </w:r>
    </w:p>
    <w:bookmarkEnd w:id="45"/>
    <w:bookmarkStart w:id="48" w:name="capacity-and-platform-statements"/>
    <w:p>
      <w:pPr>
        <w:pStyle w:val="Heading3"/>
      </w:pPr>
      <w:r>
        <w:t xml:space="preserve">Capacity and platform</w:t>
      </w:r>
      <w:r>
        <w:t xml:space="preserve"> </w:t>
      </w:r>
      <w:r>
        <w:t xml:space="preserve">statements</w:t>
      </w:r>
    </w:p>
    <w:p>
      <w:pPr>
        <w:pStyle w:val="FirstParagraph"/>
      </w:pPr>
      <w:r>
        <w:t xml:space="preserve">This beta has synthetic single-profile workflow evidence. It does not</w:t>
      </w:r>
      <w:r>
        <w:t xml:space="preserve"> </w:t>
      </w:r>
      <w:r>
        <w:t xml:space="preserve">have a published benchmark for concurrent staff capacity, minimum</w:t>
      </w:r>
      <w:r>
        <w:t xml:space="preserve"> </w:t>
      </w:r>
      <w:r>
        <w:t xml:space="preserve">RAM/CPU, large-source limits or a field SLA. Do not turn a developer</w:t>
      </w:r>
      <w:r>
        <w:t xml:space="preserve"> </w:t>
      </w:r>
      <w:r>
        <w:t xml:space="preserve">machine’s specification into a supported minimum. The signed MSI is 2,082,697,216 bytes; allow additional disk for extracted runtime,</w:t>
      </w:r>
      <w:r>
        <w:t xml:space="preserve"> </w:t>
      </w:r>
      <w:r>
        <w:t xml:space="preserve">database, originals, exports, media and backups. Select</w:t>
      </w:r>
      <w:r>
        <w:t xml:space="preserve"> </w:t>
      </w:r>
      <w:r>
        <w:t xml:space="preserve">equipment/storage after sizing those actual workloads.</w:t>
      </w:r>
    </w:p>
    <w:p>
      <w:pPr>
        <w:pStyle w:val="BodyText"/>
      </w:pPr>
      <w:r>
        <w:t xml:space="preserve">The exact</w:t>
      </w:r>
      <w:r>
        <w:t xml:space="preserve"> </w:t>
      </w:r>
      <w:hyperlink r:id="rId46">
        <w:r>
          <w:rPr>
            <w:rStyle w:val="Hyperlink"/>
          </w:rPr>
          <w:t xml:space="preserve">runtime payload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lock</w:t>
        </w:r>
      </w:hyperlink>
      <w:r>
        <w:t xml:space="preserve"> </w:t>
      </w:r>
      <w:r>
        <w:t xml:space="preserve">records pinned files, sizes and hashes. The</w:t>
      </w:r>
      <w:r>
        <w:t xml:space="preserve"> </w:t>
      </w:r>
      <w:hyperlink r:id="rId47">
        <w:r>
          <w:rPr>
            <w:rStyle w:val="Hyperlink"/>
          </w:rPr>
          <w:t xml:space="preserve">component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records shipped dependency declarations. These references</w:t>
      </w:r>
      <w:r>
        <w:t xml:space="preserve"> </w:t>
      </w:r>
      <w:r>
        <w:t xml:space="preserve">are more precise than a manually copied dependency list. Third-party and</w:t>
      </w:r>
      <w:r>
        <w:t xml:space="preserve"> </w:t>
      </w:r>
      <w:r>
        <w:t xml:space="preserve">historical license notices must accompany their matching payloads.</w:t>
      </w:r>
    </w:p>
    <w:bookmarkEnd w:id="48"/>
    <w:bookmarkEnd w:id="49"/>
    <w:bookmarkStart w:id="52" w:name="configuration-and-administration"/>
    <w:p>
      <w:pPr>
        <w:pStyle w:val="Heading2"/>
      </w:pPr>
      <w:r>
        <w:t xml:space="preserve">Configuration and</w:t>
      </w:r>
      <w:r>
        <w:t xml:space="preserve"> </w:t>
      </w:r>
      <w:r>
        <w:t xml:space="preserve">administration</w:t>
      </w:r>
    </w:p>
    <w:bookmarkStart w:id="50" w:name="native-deployment-configuration"/>
    <w:p>
      <w:pPr>
        <w:pStyle w:val="Heading3"/>
      </w:pPr>
      <w:r>
        <w:t xml:space="preserve">Native deployment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Use Setup, Settings and System Health for supported staff operation.</w:t>
      </w:r>
      <w:r>
        <w:t xml:space="preserve"> </w:t>
      </w:r>
      <w:r>
        <w:t xml:space="preserve">Administrators provision folders, backup storage, named accounts and the</w:t>
      </w:r>
      <w:r>
        <w:t xml:space="preserve"> </w:t>
      </w:r>
      <w:r>
        <w:t xml:space="preserve">city profile. Select</w:t>
      </w:r>
      <w:r>
        <w:t xml:space="preserve"> </w:t>
      </w:r>
      <w:r>
        <w:rPr>
          <w:rStyle w:val="VerbatimChar"/>
        </w:rPr>
        <w:t xml:space="preserve">inspections-preview</w:t>
      </w:r>
      <w:r>
        <w:t xml:space="preserve"> </w:t>
      </w:r>
      <w:r>
        <w:t xml:space="preserve">for the bounded</w:t>
      </w:r>
      <w:r>
        <w:t xml:space="preserve"> </w:t>
      </w:r>
      <w:r>
        <w:t xml:space="preserve">desktop composition, including Access and Notice. Station remains a</w:t>
      </w:r>
      <w:r>
        <w:t xml:space="preserve"> </w:t>
      </w:r>
      <w:r>
        <w:t xml:space="preserve">separate service boundary. Do not use a standalone product’s demo server</w:t>
      </w:r>
      <w:r>
        <w:t xml:space="preserve"> </w:t>
      </w:r>
      <w:r>
        <w:t xml:space="preserve">as a substitute for the installed workspace.</w:t>
      </w:r>
    </w:p>
    <w:p>
      <w:pPr>
        <w:pStyle w:val="BodyText"/>
      </w:pPr>
      <w:r>
        <w:t xml:space="preserve">Technical deployments use</w:t>
      </w:r>
      <w:r>
        <w:t xml:space="preserve"> </w:t>
      </w:r>
      <w:r>
        <w:rPr>
          <w:rStyle w:val="VerbatimChar"/>
        </w:rPr>
        <w:t xml:space="preserve">TOWNLIGHT_PRODUCT_PROFILE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TOWNLIGHT_RUNTIME_PORT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PORTAL_MODE</w:t>
      </w:r>
      <w:r>
        <w:t xml:space="preserve"> </w:t>
      </w:r>
      <w:r>
        <w:t xml:space="preserve">and the</w:t>
      </w:r>
      <w:r>
        <w:t xml:space="preserve"> </w:t>
      </w:r>
      <w:r>
        <w:t xml:space="preserve">runtime-managed secret files. Treat database URLs and native session</w:t>
      </w:r>
      <w:r>
        <w:t xml:space="preserve"> </w:t>
      </w:r>
      <w:r>
        <w:t xml:space="preserve">proofs as secrets. The installed native domain runtime explicitly</w:t>
      </w:r>
      <w:r>
        <w:t xml:space="preserve"> </w:t>
      </w:r>
      <w:r>
        <w:t xml:space="preserve">refuses non-loopback binding.</w:t>
      </w:r>
      <w:r>
        <w:t xml:space="preserve"> </w:t>
      </w:r>
      <w:r>
        <w:rPr>
          <w:rStyle w:val="VerbatimChar"/>
        </w:rPr>
        <w:t xml:space="preserve">PORTAL_MODE=private</w:t>
      </w:r>
      <w:r>
        <w:t xml:space="preserve"> </w:t>
      </w:r>
      <w:r>
        <w:t xml:space="preserve">is the</w:t>
      </w:r>
      <w:r>
        <w:t xml:space="preserve"> </w:t>
      </w:r>
      <w:r>
        <w:t xml:space="preserve">accepted posture; changing it does not by itself commission an internet</w:t>
      </w:r>
      <w:r>
        <w:t xml:space="preserve"> </w:t>
      </w:r>
      <w:r>
        <w:t xml:space="preserve">portal, authentication provider or reverse proxy.</w:t>
      </w:r>
    </w:p>
    <w:p>
      <w:pPr>
        <w:pStyle w:val="BodyText"/>
      </w:pPr>
      <w:r>
        <w:t xml:space="preserve">The isolated documentation exporter sets a fictional profile and</w:t>
      </w:r>
      <w:r>
        <w:t xml:space="preserve"> </w:t>
      </w:r>
      <w:r>
        <w:t xml:space="preserve">unusable synthetic database origin only to read schemas; those values</w:t>
      </w:r>
      <w:r>
        <w:t xml:space="preserve"> </w:t>
      </w:r>
      <w:r>
        <w:t xml:space="preserve">are not deployment configuration. Keep deployment values in the intended</w:t>
      </w:r>
      <w:r>
        <w:t xml:space="preserve"> </w:t>
      </w:r>
      <w:r>
        <w:t xml:space="preserve">process/account scope. An already-running process does not automatically</w:t>
      </w:r>
      <w:r>
        <w:t xml:space="preserve"> </w:t>
      </w:r>
      <w:r>
        <w:t xml:space="preserve">inherit later environment edits.</w:t>
      </w:r>
    </w:p>
    <w:bookmarkEnd w:id="50"/>
    <w:bookmarkStart w:id="51" w:name="optional-media-analysis-configuration"/>
    <w:p>
      <w:pPr>
        <w:pStyle w:val="Heading3"/>
      </w:pPr>
      <w:r>
        <w:t xml:space="preserve">Optional media analysis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rPr>
          <w:rStyle w:val="VerbatimChar"/>
        </w:rPr>
        <w:t xml:space="preserve">TOWNLIGHT_INSPECTIONS_VISION_PROVIDER</w:t>
      </w:r>
      <w:r>
        <w:t xml:space="preserve"> </w:t>
      </w:r>
      <w:r>
        <w:t xml:space="preserve">accepts</w:t>
      </w:r>
      <w:r>
        <w:t xml:space="preserve"> </w:t>
      </w:r>
      <w:r>
        <w:rPr>
          <w:rStyle w:val="VerbatimChar"/>
        </w:rPr>
        <w:t xml:space="preserve">ollama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openai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anthropic</w:t>
      </w:r>
      <w:r>
        <w:t xml:space="preserve">.</w:t>
      </w:r>
      <w:r>
        <w:t xml:space="preserve"> </w:t>
      </w:r>
      <w:r>
        <w:t xml:space="preserve">Select an actually image-capable model through</w:t>
      </w:r>
      <w:r>
        <w:t xml:space="preserve"> </w:t>
      </w:r>
      <w:r>
        <w:rPr>
          <w:rStyle w:val="VerbatimChar"/>
        </w:rPr>
        <w:t xml:space="preserve">TOWNLIGHT_INSPECTIONS_VISION_MODEL</w:t>
      </w:r>
      <w:r>
        <w:t xml:space="preserve">; an Ollama endpoint may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TOWNLIGHT_INSPECTIONS_VISION_BASE_URL</w:t>
      </w:r>
      <w:r>
        <w:t xml:space="preserve">.</w:t>
      </w:r>
      <w:r>
        <w:t xml:space="preserve"> </w:t>
      </w:r>
      <w:r>
        <w:rPr>
          <w:rStyle w:val="VerbatimChar"/>
        </w:rPr>
        <w:t xml:space="preserve">TOWNLIGHT_INSPECTIONS_VISION_THINK</w:t>
      </w:r>
      <w:r>
        <w:t xml:space="preserve"> </w:t>
      </w:r>
      <w:r>
        <w:t xml:space="preserve">accepts</w:t>
      </w:r>
      <w:r>
        <w:t xml:space="preserve"> </w:t>
      </w:r>
      <w:r>
        <w:t xml:space="preserve">true/false/low/medium/high where that configured adapter uses it. Keep</w:t>
      </w:r>
      <w:r>
        <w:t xml:space="preserve"> </w:t>
      </w:r>
      <w:r>
        <w:t xml:space="preserve">provider credentials in protected deployment configuration, never in a</w:t>
      </w:r>
      <w:r>
        <w:t xml:space="preserve"> </w:t>
      </w:r>
      <w:r>
        <w:t xml:space="preserve">source bundle. Missing vision configuration returns unavailable rather</w:t>
      </w:r>
      <w:r>
        <w:t xml:space="preserve"> </w:t>
      </w:r>
      <w:r>
        <w:t xml:space="preserve">than invented observations.</w:t>
      </w:r>
    </w:p>
    <w:p>
      <w:pPr>
        <w:pStyle w:val="BodyText"/>
      </w:pPr>
      <w:r>
        <w:rPr>
          <w:rStyle w:val="VerbatimChar"/>
        </w:rPr>
        <w:t xml:space="preserve">TOWNLIGHT_INSPECTIONS_TRANSCRIBER</w:t>
      </w:r>
      <w:r>
        <w:t xml:space="preserve"> </w:t>
      </w:r>
      <w:r>
        <w:t xml:space="preserve">selects</w:t>
      </w:r>
      <w:r>
        <w:t xml:space="preserve"> </w:t>
      </w:r>
      <w:r>
        <w:rPr>
          <w:rStyle w:val="VerbatimChar"/>
        </w:rPr>
        <w:t xml:space="preserve">whistle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textflowkit</w:t>
      </w:r>
      <w:r>
        <w:t xml:space="preserve">; the installed</w:t>
      </w:r>
      <w:r>
        <w:t xml:space="preserve"> </w:t>
      </w:r>
      <w:r>
        <w:t xml:space="preserve">candidate provisions the bundled Whistle CPU path. The owning</w:t>
      </w:r>
      <w:r>
        <w:t xml:space="preserve"> </w:t>
      </w:r>
      <w:r>
        <w:t xml:space="preserve">transcriber assets and retained notices must stay with it. A provider</w:t>
      </w:r>
      <w:r>
        <w:t xml:space="preserve"> </w:t>
      </w:r>
      <w:r>
        <w:t xml:space="preserve">result remains an editable draft with original evidence retained. The</w:t>
      </w:r>
      <w:r>
        <w:t xml:space="preserve"> </w:t>
      </w:r>
      <w:r>
        <w:t xml:space="preserve">separate TextFlowKit MCP adapter is not an automatically enabled</w:t>
      </w:r>
      <w:r>
        <w:t xml:space="preserve"> </w:t>
      </w:r>
      <w:r>
        <w:t xml:space="preserve">Townlight server.</w:t>
      </w:r>
    </w:p>
    <w:bookmarkEnd w:id="51"/>
    <w:bookmarkEnd w:id="52"/>
    <w:bookmarkStart w:id="63" w:name="api-and-integration-examples"/>
    <w:p>
      <w:pPr>
        <w:pStyle w:val="Heading2"/>
      </w:pPr>
      <w:r>
        <w:t xml:space="preserve">API and integration examples</w:t>
      </w:r>
    </w:p>
    <w:bookmarkStart w:id="54" w:name="native-command-example"/>
    <w:p>
      <w:pPr>
        <w:pStyle w:val="Heading3"/>
      </w:pPr>
      <w:r>
        <w:t xml:space="preserve">Native command example</w:t>
      </w:r>
    </w:p>
    <w:p>
      <w:pPr>
        <w:pStyle w:val="FirstParagraph"/>
      </w:pPr>
      <w:r>
        <w:t xml:space="preserve">The following JavaScript belongs in the existing trusted Townlight</w:t>
      </w:r>
      <w:r>
        <w:t xml:space="preserve"> </w:t>
      </w:r>
      <w:r>
        <w:t xml:space="preserve">frontend/development environment with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imported from</w:t>
      </w:r>
      <w:r>
        <w:t xml:space="preserve"> </w:t>
      </w:r>
      <w:r>
        <w:rPr>
          <w:rStyle w:val="VerbatimChar"/>
        </w:rPr>
        <w:t xml:space="preserve">@tauri-apps/api/core</w:t>
      </w:r>
      <w:r>
        <w:t xml:space="preserve">. It is not a command for an arbitrary</w:t>
      </w:r>
      <w:r>
        <w:t xml:space="preserve"> </w:t>
      </w:r>
      <w:r>
        <w:t xml:space="preserve">web page or an instruction for nontechnical staff. IDs must come from</w:t>
      </w:r>
      <w:r>
        <w:t xml:space="preserve"> </w:t>
      </w:r>
      <w:r>
        <w:t xml:space="preserve">records created in an isolated synthetic exercise.</w:t>
      </w:r>
    </w:p>
    <w:bookmarkStart w:id="53" w:name="cb3"/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invoke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'@tauri-apps/api/core'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'inspections_domain_request'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request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operation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'cases'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offset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}})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(result)</w:t>
      </w:r>
      <w:r>
        <w:rPr>
          <w:rStyle w:val="OperatorTok"/>
        </w:rPr>
        <w:t xml:space="preserve">;</w:t>
      </w:r>
    </w:p>
    <w:bookmarkEnd w:id="53"/>
    <w:bookmarkEnd w:id="54"/>
    <w:bookmarkStart w:id="56" w:name="trusted-local-http-example"/>
    <w:p>
      <w:pPr>
        <w:pStyle w:val="Heading3"/>
      </w:pPr>
      <w:r>
        <w:t xml:space="preserve">Trusted local HTTP example</w:t>
      </w:r>
    </w:p>
    <w:p>
      <w:pPr>
        <w:pStyle w:val="FirstParagraph"/>
      </w:pPr>
      <w:r>
        <w:t xml:space="preserve">An administrator/developer can inspect an already-configured isolated</w:t>
      </w:r>
      <w:r>
        <w:t xml:space="preserve"> </w:t>
      </w:r>
      <w:r>
        <w:t xml:space="preserve">runtime from a trusted local process. This PowerShell example reads the</w:t>
      </w:r>
      <w:r>
        <w:t xml:space="preserve"> </w:t>
      </w:r>
      <w:r>
        <w:t xml:space="preserve">signed-in synthetic profile’s existing proof into memory; it does not</w:t>
      </w:r>
      <w:r>
        <w:t xml:space="preserve"> </w:t>
      </w:r>
      <w:r>
        <w:t xml:space="preserve">create a user, seed a session, reveal the proof in output or bypass a</w:t>
      </w:r>
      <w:r>
        <w:t xml:space="preserve"> </w:t>
      </w:r>
      <w:r>
        <w:t xml:space="preserve">permission check. Do not use real city data in development examples. A</w:t>
      </w:r>
      <w:r>
        <w:t xml:space="preserve"> </w:t>
      </w:r>
      <w:r>
        <w:t xml:space="preserve">read response does not prove approval or publication.</w:t>
      </w:r>
    </w:p>
    <w:bookmarkStart w:id="55" w:name="cb4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'config\local-session.json'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'http://127.0.0.1:15480/desktop/v1/inspections/evidence/supported-types'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5"/>
    <w:bookmarkEnd w:id="56"/>
    <w:bookmarkStart w:id="58" w:name="Xc1e641ed528d4025c368f165cf10eb57eaf8eef"/>
    <w:p>
      <w:pPr>
        <w:pStyle w:val="Heading3"/>
      </w:pPr>
      <w:r>
        <w:t xml:space="preserve">A synthetic write</w:t>
      </w:r>
      <w:r>
        <w:t xml:space="preserve"> </w:t>
      </w:r>
      <w:r>
        <w:t xml:space="preserve">with subsequent readback</w:t>
      </w:r>
    </w:p>
    <w:p>
      <w:pPr>
        <w:pStyle w:val="FirstParagraph"/>
      </w:pPr>
      <w:r>
        <w:t xml:space="preserve">This example demonstrates the existing Meetings HTTP contract in an</w:t>
      </w:r>
      <w:r>
        <w:t xml:space="preserve"> </w:t>
      </w:r>
      <w:r>
        <w:t xml:space="preserve">isolated exercise. It is intentionally fictional. It does not start a</w:t>
      </w:r>
      <w:r>
        <w:t xml:space="preserve"> </w:t>
      </w:r>
      <w:r>
        <w:t xml:space="preserve">service. Its authentication setup is included so it can be run</w:t>
      </w:r>
      <w:r>
        <w:t xml:space="preserve"> </w:t>
      </w:r>
      <w:r>
        <w:t xml:space="preserve">independently under the signed-in synthetic account. If a write times</w:t>
      </w:r>
      <w:r>
        <w:t xml:space="preserve"> </w:t>
      </w:r>
      <w:r>
        <w:t xml:space="preserve">out, inspect current records before repeating it.</w:t>
      </w:r>
    </w:p>
    <w:bookmarkStart w:id="57" w:name="cb5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'config/local-session.json'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documentation exercise'</w:t>
      </w:r>
      <w:r>
        <w:br/>
      </w:r>
      <w:r>
        <w:rPr>
          <w:rStyle w:val="NormalTok"/>
        </w:rPr>
        <w:t xml:space="preserve">  scheduled_start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'2026-11-05T18:00:00-07:00'</w:t>
      </w:r>
      <w:r>
        <w:br/>
      </w:r>
      <w:r>
        <w:rPr>
          <w:rStyle w:val="NormalTok"/>
        </w:rPr>
        <w:t xml:space="preserve">  location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room'</w:t>
      </w:r>
      <w:r>
        <w:br/>
      </w:r>
      <w:r>
        <w:rPr>
          <w:rStyle w:val="NormalTok"/>
        </w:rPr>
        <w:t xml:space="preserve">  meeting_type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br/>
      </w:r>
      <w:r>
        <w:rPr>
          <w:rStyle w:val="VariableTok"/>
        </w:rPr>
        <w:t xml:space="preserve">$meeting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'http://127.0.0.1:15480/desktop/v1/meetings/meetings'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'application/json'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</w:t>
      </w:r>
      <w:r>
        <w:rPr>
          <w:rStyle w:val="VariableTok"/>
        </w:rPr>
        <w:t xml:space="preserve">$body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'http://127.0.0.1:15480/desktop/v1/meetings/meetings/'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$meeting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7"/>
    <w:p>
      <w:pPr>
        <w:pStyle w:val="FirstParagraph"/>
      </w:pPr>
      <w:r>
        <w:t xml:space="preserve">This write requires Meetings to be enabled and the signed-in staff</w:t>
      </w:r>
      <w:r>
        <w:t xml:space="preserve"> </w:t>
      </w:r>
      <w:r>
        <w:t xml:space="preserve">role to permit it. It is a cross-suite integration example; for this</w:t>
      </w:r>
      <w:r>
        <w:t xml:space="preserve"> </w:t>
      </w:r>
      <w:r>
        <w:t xml:space="preserve">product’s request models, use the complete technical reference</w:t>
      </w:r>
      <w:r>
        <w:t xml:space="preserve"> </w:t>
      </w:r>
      <w:r>
        <w:t xml:space="preserve">below.</w:t>
      </w:r>
    </w:p>
    <w:bookmarkEnd w:id="58"/>
    <w:bookmarkStart w:id="62" w:name="complete-technical-contract"/>
    <w:p>
      <w:pPr>
        <w:pStyle w:val="Heading3"/>
      </w:pPr>
      <w:r>
        <w:t xml:space="preserve">Complete technical contract</w:t>
      </w:r>
    </w:p>
    <w:p>
      <w:pPr>
        <w:pStyle w:val="FirstParagraph"/>
      </w:pPr>
      <w:r>
        <w:t xml:space="preserve">Read the</w:t>
      </w:r>
      <w:r>
        <w:t xml:space="preserve"> </w:t>
      </w:r>
      <w:hyperlink r:id="rId59">
        <w:r>
          <w:rPr>
            <w:rStyle w:val="Hyperlink"/>
          </w:rPr>
          <w:t xml:space="preserve">Inspections API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for every documented operation, request field, constraint,</w:t>
      </w:r>
      <w:r>
        <w:t xml:space="preserve"> </w:t>
      </w:r>
      <w:r>
        <w:t xml:space="preserve">response declaration and source supplement. Download the</w:t>
      </w:r>
      <w:r>
        <w:t xml:space="preserve"> </w:t>
      </w:r>
      <w:hyperlink r:id="rId60">
        <w:r>
          <w:rPr>
            <w:rStyle w:val="Hyperlink"/>
          </w:rPr>
          <w:t xml:space="preserve">OpenAPI JSON</w:t>
        </w:r>
      </w:hyperlink>
      <w:r>
        <w:t xml:space="preserve"> </w:t>
      </w:r>
      <w:r>
        <w:t xml:space="preserve">for</w:t>
      </w:r>
      <w:r>
        <w:t xml:space="preserve"> </w:t>
      </w:r>
      <w:r>
        <w:t xml:space="preserve">tools. For Station this is the suite-side schema only; its separate</w:t>
      </w:r>
      <w:r>
        <w:t xml:space="preserve"> </w:t>
      </w:r>
      <w:r>
        <w:t xml:space="preserve">service contract is documented in the API supplement. The</w:t>
      </w:r>
      <w:r>
        <w:t xml:space="preserve"> </w:t>
      </w:r>
      <w:hyperlink r:id="rId61">
        <w:r>
          <w:rPr>
            <w:rStyle w:val="Hyperlink"/>
          </w:rPr>
          <w:t xml:space="preserve">reference directory</w:t>
        </w:r>
      </w:hyperlink>
      <w:r>
        <w:t xml:space="preserve"> </w:t>
      </w:r>
      <w:r>
        <w:t xml:space="preserve">includes</w:t>
      </w:r>
      <w:r>
        <w:t xml:space="preserve"> </w:t>
      </w:r>
      <w:r>
        <w:t xml:space="preserve">configuration/source inventories, dependency declarations, native</w:t>
      </w:r>
      <w:r>
        <w:t xml:space="preserve"> </w:t>
      </w:r>
      <w:r>
        <w:t xml:space="preserve">command contracts, MCP signatures and candidate evidence.</w:t>
      </w:r>
    </w:p>
    <w:bookmarkEnd w:id="62"/>
    <w:bookmarkEnd w:id="63"/>
    <w:bookmarkStart w:id="66" w:name="mcp-and-automation-boundary"/>
    <w:p>
      <w:pPr>
        <w:pStyle w:val="Heading2"/>
      </w:pPr>
      <w:r>
        <w:t xml:space="preserve">MCP and automation boundary</w:t>
      </w:r>
    </w:p>
    <w:p>
      <w:pPr>
        <w:pStyle w:val="FirstParagraph"/>
      </w:pPr>
      <w:r>
        <w:t xml:space="preserve">No direct product MCP server is exposed by the accepted Townlight</w:t>
      </w:r>
      <w:r>
        <w:t xml:space="preserve"> </w:t>
      </w:r>
      <w:r>
        <w:t xml:space="preserve">desktop or Station boundary. Do not configure an invented</w:t>
      </w:r>
      <w:r>
        <w:t xml:space="preserve"> </w:t>
      </w:r>
      <w:r>
        <w:rPr>
          <w:rStyle w:val="VerbatimChar"/>
        </w:rPr>
        <w:t xml:space="preserve">townlight mcp</w:t>
      </w:r>
      <w:r>
        <w:t xml:space="preserve"> </w:t>
      </w:r>
      <w:r>
        <w:t xml:space="preserve">command or assume an AI client has staff</w:t>
      </w:r>
      <w:r>
        <w:t xml:space="preserve"> </w:t>
      </w:r>
      <w:r>
        <w:t xml:space="preserve">permissions. The integration surfaces for this beta are native IPC, the</w:t>
      </w:r>
      <w:r>
        <w:t xml:space="preserve"> </w:t>
      </w:r>
      <w:r>
        <w:t xml:space="preserve">documented HTTP APIs, source bundle imports, exact exports and the</w:t>
      </w:r>
      <w:r>
        <w:t xml:space="preserve"> </w:t>
      </w:r>
      <w:r>
        <w:t xml:space="preserve">existing Station CLI.</w:t>
      </w:r>
    </w:p>
    <w:p>
      <w:pPr>
        <w:pStyle w:val="BodyText"/>
      </w:pPr>
      <w:r>
        <w:t xml:space="preserve">The bundled transcription code includes a</w:t>
      </w:r>
      <w:r>
        <w:t xml:space="preserve"> </w:t>
      </w:r>
      <w:r>
        <w:rPr>
          <w:b/>
          <w:bCs/>
        </w:rPr>
        <w:t xml:space="preserve">TextFlowKit MCP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as a separate source capability. It offers job-based</w:t>
      </w:r>
      <w:r>
        <w:t xml:space="preserve"> </w:t>
      </w:r>
      <w:r>
        <w:rPr>
          <w:rStyle w:val="VerbatimChar"/>
        </w:rPr>
        <w:t xml:space="preserve">transcribe_media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get_transcript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list_jobs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get_job_status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export_transcript</w:t>
      </w:r>
      <w:r>
        <w:t xml:space="preserve">, and additional tools declared in that</w:t>
      </w:r>
      <w:r>
        <w:t xml:space="preserve"> </w:t>
      </w:r>
      <w:r>
        <w:t xml:space="preserve">adapter. It uses stdio first and optional Streamable HTTP, with the MCP</w:t>
      </w:r>
      <w:r>
        <w:t xml:space="preserve"> </w:t>
      </w:r>
      <w:r>
        <w:t xml:space="preserve">SDK as an optional extra. It is not automatically launched,</w:t>
      </w:r>
      <w:r>
        <w:t xml:space="preserve"> </w:t>
      </w:r>
      <w:r>
        <w:t xml:space="preserve">authenticated as Townlight staff or accepted as a Townlight product MCP</w:t>
      </w:r>
      <w:r>
        <w:t xml:space="preserve"> </w:t>
      </w:r>
      <w:r>
        <w:t xml:space="preserve">deployment. This documentation does not add such a service.</w:t>
      </w:r>
    </w:p>
    <w:p>
      <w:pPr>
        <w:pStyle w:val="BodyText"/>
      </w:pPr>
      <w:r>
        <w:t xml:space="preserve">For a transcription client already provisioned separately, an</w:t>
      </w:r>
      <w:r>
        <w:t xml:space="preserve"> </w:t>
      </w:r>
      <w:r>
        <w:t xml:space="preserve">illustrative tool call is:</w:t>
      </w:r>
    </w:p>
    <w:bookmarkStart w:id="64" w:name="cb6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"get_job_status"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"arguments"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"job_id"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"synthetic-existing-job-id"</w:t>
      </w:r>
      <w:r>
        <w:rPr>
          <w:rStyle w:val="FunctionTok"/>
        </w:rPr>
        <w:t xml:space="preserve">}}</w:t>
      </w:r>
    </w:p>
    <w:bookmarkEnd w:id="64"/>
    <w:p>
      <w:pPr>
        <w:pStyle w:val="FirstParagraph"/>
      </w:pPr>
      <w:r>
        <w:t xml:space="preserve">Use a job ID returned by that transcription service. This example</w:t>
      </w:r>
      <w:r>
        <w:t xml:space="preserve"> </w:t>
      </w:r>
      <w:r>
        <w:t xml:space="preserve">does not create a Townlight record or bypass its review/Records handoff.</w:t>
      </w:r>
      <w:r>
        <w:t xml:space="preserve"> </w:t>
      </w:r>
      <w:r>
        <w:t xml:space="preserve">The exact optional adapter tool signatures are supplied in the</w:t>
      </w:r>
      <w:r>
        <w:t xml:space="preserve"> </w:t>
      </w:r>
      <w:hyperlink r:id="rId65">
        <w:r>
          <w:rPr>
            <w:rStyle w:val="Hyperlink"/>
          </w:rPr>
          <w:t xml:space="preserve">MCP source reference</w:t>
        </w:r>
      </w:hyperlink>
      <w:r>
        <w:t xml:space="preserve">. Station</w:t>
      </w:r>
      <w:r>
        <w:t xml:space="preserve"> </w:t>
      </w:r>
      <w:r>
        <w:t xml:space="preserve">meeting capture does not become live speech recognition because this</w:t>
      </w:r>
      <w:r>
        <w:t xml:space="preserve"> </w:t>
      </w:r>
      <w:r>
        <w:t xml:space="preserve">optional donor adapter exists.</w:t>
      </w:r>
    </w:p>
    <w:bookmarkEnd w:id="66"/>
    <w:bookmarkStart w:id="67" w:name="security-and-permissions"/>
    <w:p>
      <w:pPr>
        <w:pStyle w:val="Heading2"/>
      </w:pPr>
      <w:r>
        <w:t xml:space="preserve">Security and permissions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p>
      <w:pPr>
        <w:pStyle w:val="BodyText"/>
      </w:pPr>
      <w:r>
        <w:t xml:space="preserve">The native session is validated and mapped to a persisted SQL</w:t>
      </w:r>
      <w:r>
        <w:t xml:space="preserve"> </w:t>
      </w:r>
      <w:r>
        <w:t xml:space="preserve">identity. An editable actor/reviewer label is not authentication.</w:t>
      </w:r>
      <w:r>
        <w:t xml:space="preserve"> </w:t>
      </w:r>
      <w:r>
        <w:t xml:space="preserve">Product/module permissions and source visibility apply at the server</w:t>
      </w:r>
      <w:r>
        <w:t xml:space="preserve"> </w:t>
      </w:r>
      <w:r>
        <w:t xml:space="preserve">boundary. Revoked/unavailable authority fails closed for new Station</w:t>
      </w:r>
      <w:r>
        <w:t xml:space="preserve"> </w:t>
      </w:r>
      <w:r>
        <w:t xml:space="preserve">operations; a previous permission result is not a perpetual</w:t>
      </w:r>
      <w:r>
        <w:t xml:space="preserve"> </w:t>
      </w:r>
      <w:r>
        <w:t xml:space="preserve">authorization.</w:t>
      </w:r>
    </w:p>
    <w:p>
      <w:pPr>
        <w:pStyle w:val="BodyText"/>
      </w:pPr>
      <w:r>
        <w:t xml:space="preserve">Use protected local folders, account permissions and credential</w:t>
      </w:r>
      <w:r>
        <w:t xml:space="preserve"> </w:t>
      </w:r>
      <w:r>
        <w:t xml:space="preserve">storage. Never include the native session file, database passwords,</w:t>
      </w:r>
      <w:r>
        <w:t xml:space="preserve"> </w:t>
      </w:r>
      <w:r>
        <w:t xml:space="preserve">provider keys or unredacted support bundles in a public issue or</w:t>
      </w:r>
      <w:r>
        <w:t xml:space="preserve"> </w:t>
      </w:r>
      <w:r>
        <w:t xml:space="preserve">generated public documentation. A local public view is not automatically</w:t>
      </w:r>
      <w:r>
        <w:t xml:space="preserve"> </w:t>
      </w:r>
      <w:r>
        <w:t xml:space="preserve">a secured internet deployment. Keep network exposure and real equipment</w:t>
      </w:r>
      <w:r>
        <w:t xml:space="preserve"> </w:t>
      </w:r>
      <w:r>
        <w:t xml:space="preserve">acceptance specific to the chosen beta site.</w:t>
      </w:r>
    </w:p>
    <w:bookmarkEnd w:id="67"/>
    <w:bookmarkStart w:id="68" w:name="backup-recovery-and-maintenance"/>
    <w:p>
      <w:pPr>
        <w:pStyle w:val="Heading2"/>
      </w:pPr>
      <w:r>
        <w:t xml:space="preserve">Backup recovery and</w:t>
      </w:r>
      <w:r>
        <w:t xml:space="preserve"> </w:t>
      </w:r>
      <w:r>
        <w:t xml:space="preserve">maintenance</w:t>
      </w:r>
    </w:p>
    <w:p>
      <w:pPr>
        <w:pStyle w:val="FirstParagraph"/>
      </w:pPr>
      <w:r>
        <w:t xml:space="preserve">Save work and use Core’s canonical</w:t>
      </w:r>
      <w:r>
        <w:t xml:space="preserve"> </w:t>
      </w:r>
      <w:r>
        <w:rPr>
          <w:b/>
          <w:bCs/>
        </w:rPr>
        <w:t xml:space="preserve">Backup Now</w:t>
      </w:r>
      <w:r>
        <w:t xml:space="preserve"> </w:t>
      </w:r>
      <w:r>
        <w:t xml:space="preserve">before</w:t>
      </w:r>
      <w:r>
        <w:t xml:space="preserve"> </w:t>
      </w:r>
      <w:r>
        <w:t xml:space="preserve">maintenance. That operation stops writers. Preserve the coherent</w:t>
      </w:r>
      <w:r>
        <w:t xml:space="preserve"> </w:t>
      </w:r>
      <w:r>
        <w:t xml:space="preserve">profile/database/document backup and its receipt, then use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to resume. A source export is not a full</w:t>
      </w:r>
      <w:r>
        <w:t xml:space="preserve"> </w:t>
      </w:r>
      <w:r>
        <w:t xml:space="preserve">backup.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Restore Latest Backup</w:t>
      </w:r>
      <w:r>
        <w:t xml:space="preserve"> </w:t>
      </w:r>
      <w:r>
        <w:t xml:space="preserve">through the supported</w:t>
      </w:r>
      <w:r>
        <w:t xml:space="preserve"> </w:t>
      </w:r>
      <w:r>
        <w:t xml:space="preserve">controls. If the result says</w:t>
      </w:r>
      <w:r>
        <w:t xml:space="preserve"> </w:t>
      </w:r>
      <w:r>
        <w:rPr>
          <w:b/>
          <w:bCs/>
        </w:rPr>
        <w:t xml:space="preserve">Restore needs service</w:t>
      </w:r>
      <w:r>
        <w:rPr>
          <w:b/>
          <w:bCs/>
        </w:rPr>
        <w:t xml:space="preserve"> </w:t>
      </w:r>
      <w:r>
        <w:rPr>
          <w:b/>
          <w:bCs/>
        </w:rPr>
        <w:t xml:space="preserve">start</w:t>
      </w:r>
      <w:r>
        <w:t xml:space="preserve">, use</w:t>
      </w:r>
      <w:r>
        <w:t xml:space="preserve"> </w:t>
      </w:r>
      <w:r>
        <w:rPr>
          <w:b/>
          <w:bCs/>
        </w:rPr>
        <w:t xml:space="preserve">Start</w:t>
      </w:r>
      <w:r>
        <w:t xml:space="preserve">, then</w:t>
      </w:r>
      <w:r>
        <w:t xml:space="preserve"> </w:t>
      </w:r>
      <w:r>
        <w:rPr>
          <w:b/>
          <w:bCs/>
        </w:rPr>
        <w:t xml:space="preserve">Check</w:t>
      </w:r>
      <w:r>
        <w:t xml:space="preserve">,</w:t>
      </w:r>
      <w:r>
        <w:t xml:space="preserve"> </w:t>
      </w:r>
      <w:r>
        <w:t xml:space="preserve">and reopen a known record. Do not repeat restore merely because services</w:t>
      </w:r>
      <w:r>
        <w:t xml:space="preserve"> </w:t>
      </w:r>
      <w:r>
        <w:t xml:space="preserve">need to start. The fresh-profile acceptance verified that a fulfilled</w:t>
      </w:r>
      <w:r>
        <w:t xml:space="preserve"> </w:t>
      </w:r>
      <w:r>
        <w:t xml:space="preserve">request survived restore and a post-backup marker did not.</w:t>
      </w:r>
    </w:p>
    <w:p>
      <w:pPr>
        <w:pStyle w:val="BodyText"/>
      </w:pPr>
      <w:r>
        <w:t xml:space="preserve">Keep Station’s dedicated database and media evidence together in its</w:t>
      </w:r>
      <w:r>
        <w:t xml:space="preserve"> </w:t>
      </w:r>
      <w:r>
        <w:t xml:space="preserve">own backup. Core’s native-profile backup must not be assumed to include</w:t>
      </w:r>
      <w:r>
        <w:t xml:space="preserve"> </w:t>
      </w:r>
      <w:r>
        <w:t xml:space="preserve">an external Station data directory. Stop writers during a coordinated</w:t>
      </w:r>
      <w:r>
        <w:t xml:space="preserve"> </w:t>
      </w:r>
      <w:r>
        <w:t xml:space="preserve">backup. Preserve failed media attempts and logs.</w:t>
      </w:r>
    </w:p>
    <w:p>
      <w:pPr>
        <w:pStyle w:val="BodyText"/>
      </w:pPr>
      <w:r>
        <w:t xml:space="preserve">On failure, record the time, selected composition,</w:t>
      </w:r>
      <w:r>
        <w:t xml:space="preserve"> </w:t>
      </w:r>
      <w:r>
        <w:t xml:space="preserve">component/installer versions and exact message. Check System Health for</w:t>
      </w:r>
      <w:r>
        <w:t xml:space="preserve"> </w:t>
      </w:r>
      <w:r>
        <w:t xml:space="preserve">stopped, starting, ready or failed dependencies. Use the existing Retry</w:t>
      </w:r>
      <w:r>
        <w:t xml:space="preserve"> </w:t>
      </w:r>
      <w:r>
        <w:t xml:space="preserve">control after readiness; do not create duplicate business records to</w:t>
      </w:r>
      <w:r>
        <w:t xml:space="preserve"> </w:t>
      </w:r>
      <w:r>
        <w:t xml:space="preserve">refresh a stale view. Share only a redacted diagnostic bundle. Preserve</w:t>
      </w:r>
      <w:r>
        <w:t xml:space="preserve"> </w:t>
      </w:r>
      <w:r>
        <w:t xml:space="preserve">secrets, original evidence, recovery material and unrelated</w:t>
      </w:r>
      <w:r>
        <w:t xml:space="preserve"> </w:t>
      </w:r>
      <w:r>
        <w:t xml:space="preserve">installations.</w:t>
      </w:r>
    </w:p>
    <w:bookmarkEnd w:id="68"/>
    <w:bookmarkStart w:id="69" w:name="troubleshooting"/>
    <w:p>
      <w:pPr>
        <w:pStyle w:val="Heading2"/>
      </w:pPr>
      <w:r>
        <w:t xml:space="preserve">Troubleshooting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</w:t>
            </w:r>
          </w:p>
        </w:tc>
        <w:tc>
          <w:tcPr/>
          <w:p>
            <w:pPr>
              <w:pStyle w:val="Compact"/>
            </w:pPr>
            <w:r>
              <w:t xml:space="preserve">Likely meaning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Workspace absent</w:t>
            </w:r>
          </w:p>
        </w:tc>
        <w:tc>
          <w:tcPr/>
          <w:p>
            <w:pPr>
              <w:pStyle w:val="Compact"/>
            </w:pPr>
            <w:r>
              <w:t xml:space="preserve">Wrong product composition or unavailable canonical runtime.</w:t>
            </w:r>
          </w:p>
        </w:tc>
        <w:tc>
          <w:tcPr/>
          <w:p>
            <w:pPr>
              <w:pStyle w:val="Compact"/>
            </w:pPr>
            <w:r>
              <w:t xml:space="preserve">Check selected composition; activate through Finish Records</w:t>
            </w:r>
            <w:r>
              <w:t xml:space="preserve"> </w:t>
            </w:r>
            <w:r>
              <w:t xml:space="preserve">Migration; wait for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Cannot sign in / 401</w:t>
            </w:r>
          </w:p>
        </w:tc>
        <w:tc>
          <w:tcPr/>
          <w:p>
            <w:pPr>
              <w:pStyle w:val="Compact"/>
            </w:pPr>
            <w:r>
              <w:t xml:space="preserve">Missing or expired named account session.</w:t>
            </w:r>
          </w:p>
        </w:tc>
        <w:tc>
          <w:tcPr/>
          <w:p>
            <w:pPr>
              <w:pStyle w:val="Compact"/>
            </w:pPr>
            <w:r>
              <w:t xml:space="preserve">Sign in normally; reopen a Station launch ticket if applicable.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denied / 403</w:t>
            </w:r>
          </w:p>
        </w:tc>
        <w:tc>
          <w:tcPr/>
          <w:p>
            <w:pPr>
              <w:pStyle w:val="Compact"/>
            </w:pPr>
            <w:r>
              <w:t xml:space="preserve">Account, module, source or browser-origin permission.</w:t>
            </w:r>
          </w:p>
        </w:tc>
        <w:tc>
          <w:tcPr/>
          <w:p>
            <w:pPr>
              <w:pStyle w:val="Compact"/>
            </w:pPr>
            <w:r>
              <w:t xml:space="preserve">Ask the authorized administrator to inspect the intended permission;</w:t>
            </w:r>
            <w:r>
              <w:t xml:space="preserve"> </w:t>
            </w:r>
            <w:r>
              <w:t xml:space="preserve">do not invent role headers.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conflict / 409</w:t>
            </w:r>
          </w:p>
        </w:tc>
        <w:tc>
          <w:tcPr/>
          <w:p>
            <w:pPr>
              <w:pStyle w:val="Compact"/>
            </w:pPr>
            <w:r>
              <w:t xml:space="preserve">The saved revision, expected source hash or lifecycle changed.</w:t>
            </w:r>
          </w:p>
        </w:tc>
        <w:tc>
          <w:tcPr/>
          <w:p>
            <w:pPr>
              <w:pStyle w:val="Compact"/>
            </w:pPr>
            <w:r>
              <w:t xml:space="preserve">Keep edits, reopen current state and reconcile deliberately.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Invalid input / 422</w:t>
            </w:r>
          </w:p>
        </w:tc>
        <w:tc>
          <w:tcPr/>
          <w:p>
            <w:pPr>
              <w:pStyle w:val="Compact"/>
            </w:pPr>
            <w:r>
              <w:t xml:space="preserve">Required field, format, geometry, source envelope or state is</w:t>
            </w:r>
            <w:r>
              <w:t xml:space="preserve"> </w:t>
            </w:r>
            <w:r>
              <w:t xml:space="preserve">invalid.</w:t>
            </w:r>
          </w:p>
        </w:tc>
        <w:tc>
          <w:tcPr/>
          <w:p>
            <w:pPr>
              <w:pStyle w:val="Compact"/>
            </w:pPr>
            <w:r>
              <w:t xml:space="preserve">Read the field detail and correct the input/source; preserve</w:t>
            </w:r>
            <w:r>
              <w:t xml:space="preserve"> </w:t>
            </w:r>
            <w:r>
              <w:t xml:space="preserve">originals.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 unavailable / 503</w:t>
            </w:r>
          </w:p>
        </w:tc>
        <w:tc>
          <w:tcPr/>
          <w:p>
            <w:pPr>
              <w:pStyle w:val="Compact"/>
            </w:pPr>
            <w:r>
              <w:t xml:space="preserve">Database, schema, connected source or configuration</w:t>
            </w:r>
            <w:r>
              <w:t xml:space="preserve"> </w:t>
            </w:r>
            <w:r>
              <w:t xml:space="preserve">unavailable.</w:t>
            </w:r>
          </w:p>
        </w:tc>
        <w:tc>
          <w:tcPr/>
          <w:p>
            <w:pPr>
              <w:pStyle w:val="Compact"/>
            </w:pPr>
            <w:r>
              <w:t xml:space="preserve">Inspect System Health and the named dependency. Preserve work; retry</w:t>
            </w:r>
            <w:r>
              <w:t xml:space="preserve"> </w:t>
            </w:r>
            <w:r>
              <w:t xml:space="preserve">only after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Export refused</w:t>
            </w:r>
          </w:p>
        </w:tc>
        <w:tc>
          <w:tcPr/>
          <w:p>
            <w:pPr>
              <w:pStyle w:val="Compact"/>
            </w:pPr>
            <w:r>
              <w:t xml:space="preserve">Missing exact review, approval, audience or source</w:t>
            </w:r>
            <w:r>
              <w:t xml:space="preserve"> </w:t>
            </w:r>
            <w:r>
              <w:t xml:space="preserve">authorization.</w:t>
            </w:r>
          </w:p>
        </w:tc>
        <w:tc>
          <w:tcPr/>
          <w:p>
            <w:pPr>
              <w:pStyle w:val="Compact"/>
            </w:pPr>
            <w:r>
              <w:t xml:space="preserve">Read the refusal and complete the owning product’s explicit</w:t>
            </w:r>
            <w:r>
              <w:t xml:space="preserve"> </w:t>
            </w:r>
            <w:r>
              <w:t xml:space="preserve">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 needs service start</w:t>
            </w:r>
          </w:p>
        </w:tc>
        <w:tc>
          <w:tcPr/>
          <w:p>
            <w:pPr>
              <w:pStyle w:val="Compact"/>
            </w:pPr>
            <w:r>
              <w:t xml:space="preserve">The snapshot was restored but services have not resumed.</w:t>
            </w:r>
          </w:p>
        </w:tc>
        <w:tc>
          <w:tcPr/>
          <w:p>
            <w:pPr>
              <w:pStyle w:val="Compact"/>
            </w:pPr>
            <w:r>
              <w:t xml:space="preserve">Use Start, then Check and verify a saved record; do not blindly</w:t>
            </w:r>
            <w:r>
              <w:t xml:space="preserve"> </w:t>
            </w:r>
            <w:r>
              <w:t xml:space="preserve">repeat restore.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Photo analysis unavailable</w:t>
            </w:r>
          </w:p>
        </w:tc>
        <w:tc>
          <w:tcPr/>
          <w:p>
            <w:pPr>
              <w:pStyle w:val="Compact"/>
            </w:pPr>
            <w:r>
              <w:t xml:space="preserve">No configured image-capable vision service.</w:t>
            </w:r>
          </w:p>
        </w:tc>
        <w:tc>
          <w:tcPr/>
          <w:p>
            <w:pPr>
              <w:pStyle w:val="Compact"/>
            </w:pPr>
            <w:r>
              <w:t xml:space="preserve">Use supplied observations or have an administrator configure the</w:t>
            </w:r>
            <w:r>
              <w:t xml:space="preserve"> </w:t>
            </w:r>
            <w:r>
              <w:t xml:space="preserve">existing adapter.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Automatic text is incorrect</w:t>
            </w:r>
          </w:p>
        </w:tc>
        <w:tc>
          <w:tcPr/>
          <w:p>
            <w:pPr>
              <w:pStyle w:val="Compact"/>
            </w:pPr>
            <w:r>
              <w:t xml:space="preserve">Model recognition is uncertain or wrong.</w:t>
            </w:r>
          </w:p>
        </w:tc>
        <w:tc>
          <w:tcPr/>
          <w:p>
            <w:pPr>
              <w:pStyle w:val="Compact"/>
            </w:pPr>
            <w:r>
              <w:t xml:space="preserve">Compare original evidence, edit and record inspector review before</w:t>
            </w:r>
            <w:r>
              <w:t xml:space="preserve"> </w:t>
            </w:r>
            <w:r>
              <w:t xml:space="preserve">any official use.</w:t>
            </w:r>
          </w:p>
        </w:tc>
      </w:tr>
    </w:tbl>
    <w:bookmarkEnd w:id="69"/>
    <w:bookmarkStart w:id="71" w:name="verified-workflows-and-limits"/>
    <w:p>
      <w:pPr>
        <w:pStyle w:val="Heading2"/>
      </w:pPr>
      <w:r>
        <w:t xml:space="preserve">Verified workflows and</w:t>
      </w:r>
      <w:r>
        <w:t xml:space="preserve"> </w:t>
      </w:r>
      <w:r>
        <w:t xml:space="preserve">limits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Recorded result</w:t>
            </w:r>
          </w:p>
        </w:tc>
        <w:tc>
          <w:tcPr/>
          <w:p>
            <w:pPr>
              <w:pStyle w:val="Compact"/>
            </w:pPr>
            <w:r>
              <w:t xml:space="preserve">Precisely exercised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Inspections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Retained original/hash, supplied observations and voice summary,</w:t>
            </w:r>
            <w:r>
              <w:t xml:space="preserve"> </w:t>
            </w:r>
            <w:r>
              <w:t xml:space="preserve">saved/reviewed case/readback, separate exact Records copy and private</w:t>
            </w:r>
            <w:r>
              <w:t xml:space="preserve"> </w:t>
            </w:r>
            <w:r>
              <w:t xml:space="preserve">handoff; address exclusion; native workspace.</w:t>
            </w:r>
          </w:p>
        </w:tc>
      </w:tr>
    </w:tbl>
    <w:p>
      <w:pPr>
        <w:pStyle w:val="BodyText"/>
      </w:pPr>
      <w:r>
        <w:t xml:space="preserve">These results come from the identified signed candidate’s fresh</w:t>
      </w:r>
      <w:r>
        <w:t xml:space="preserve"> </w:t>
      </w:r>
      <w:r>
        <w:t xml:space="preserve">normal-profile Sandbox exercise: real native IPC/HTTP/PostgreSQL and</w:t>
      </w:r>
      <w:r>
        <w:t xml:space="preserve"> </w:t>
      </w:r>
      <w:r>
        <w:t xml:space="preserve">selected headless controls. All accounts, source bundles and media were</w:t>
      </w:r>
      <w:r>
        <w:t xml:space="preserve"> </w:t>
      </w:r>
      <w:r>
        <w:t xml:space="preserve">synthetic. The guest install/uninstall and recovery passed, and the</w:t>
      </w:r>
      <w:r>
        <w:t xml:space="preserve"> </w:t>
      </w:r>
      <w:r>
        <w:t xml:space="preserve">owned Sandbox stopped. No host installed application or standalone</w:t>
      </w:r>
      <w:r>
        <w:t xml:space="preserve"> </w:t>
      </w:r>
      <w:r>
        <w:t xml:space="preserve">CivicCast was changed. This documentation task reuses those receipts; it</w:t>
      </w:r>
      <w:r>
        <w:t xml:space="preserve"> </w:t>
      </w:r>
      <w:r>
        <w:t xml:space="preserve">does not claim a new software acceptance run.</w:t>
      </w:r>
    </w:p>
    <w:p>
      <w:pPr>
        <w:pStyle w:val="BodyText"/>
      </w:pPr>
      <w:r>
        <w:t xml:space="preserve">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this MSI. The historical</w:t>
      </w:r>
      <w:r>
        <w:t xml:space="preserve"> </w:t>
      </w:r>
      <w:hyperlink r:id="rId70">
        <w:r>
          <w:rPr>
            <w:rStyle w:val="Hyperlink"/>
          </w:rPr>
          <w:t xml:space="preserve">evidence index</w:t>
        </w:r>
      </w:hyperlink>
      <w:r>
        <w:t xml:space="preserve"> </w:t>
      </w:r>
      <w:r>
        <w:t xml:space="preserve">applies to its original build.</w:t>
      </w:r>
    </w:p>
    <w:p>
      <w:pPr>
        <w:pStyle w:val="BodyText"/>
      </w:pPr>
      <w:r>
        <w:t xml:space="preserve">The limits remain: actual city field acceptance and equipment/network</w:t>
      </w:r>
      <w:r>
        <w:t xml:space="preserve"> </w:t>
      </w:r>
      <w:r>
        <w:t xml:space="preserve">commissioning; Station automatic provisioning/SCM commissioning; every</w:t>
      </w:r>
      <w:r>
        <w:t xml:space="preserve"> </w:t>
      </w:r>
      <w:r>
        <w:t xml:space="preserve">UI/role combination; field recognition accuracy; and historical in-place</w:t>
      </w:r>
      <w:r>
        <w:t xml:space="preserve"> </w:t>
      </w:r>
      <w:r>
        <w:t xml:space="preserve">upgrades are not certified. They are not five invented feature</w:t>
      </w:r>
      <w:r>
        <w:t xml:space="preserve"> </w:t>
      </w:r>
      <w:r>
        <w:t xml:space="preserve">requirements. Fresh-install controlled beta handoff remains the accepted</w:t>
      </w:r>
      <w:r>
        <w:t xml:space="preserve"> </w:t>
      </w:r>
      <w:r>
        <w:t xml:space="preserve">scope. This package makes no city-deployment, publication or</w:t>
      </w:r>
      <w:r>
        <w:t xml:space="preserve"> </w:t>
      </w:r>
      <w:r>
        <w:t xml:space="preserve">general-availability claim.</w:t>
      </w:r>
    </w:p>
    <w:bookmarkEnd w:id="71"/>
    <w:bookmarkStart w:id="83" w:name="terms-of-service-and-license"/>
    <w:p>
      <w:pPr>
        <w:pStyle w:val="Heading2"/>
      </w:pPr>
      <w:r>
        <w:t xml:space="preserve">Terms of service and license</w:t>
      </w:r>
    </w:p>
    <w:bookmarkStart w:id="72" w:name="scope-and-status"/>
    <w:p>
      <w:pPr>
        <w:pStyle w:val="Heading3"/>
      </w:pPr>
      <w:r>
        <w:t xml:space="preserve">Scope and status</w:t>
      </w:r>
    </w:p>
    <w:p>
      <w:pPr>
        <w:pStyle w:val="FirstParagraph"/>
      </w:pPr>
      <w:r>
        <w:t xml:space="preserve">These terms describe the Townlight Beta 1 software and this</w:t>
      </w:r>
      <w:r>
        <w:t xml:space="preserve"> </w:t>
      </w:r>
      <w:r>
        <w:t xml:space="preserve">documentation package. This public Windows beta is for evaluation. No uptime commitment, support response time, indemnity,</w:t>
      </w:r>
      <w:r>
        <w:t xml:space="preserve"> </w:t>
      </w:r>
      <w:r>
        <w:t xml:space="preserve">data-processing agreement or paid service is created by these documents.</w:t>
      </w:r>
      <w:r>
        <w:t xml:space="preserve"> </w:t>
      </w:r>
      <w:r>
        <w:t xml:space="preserve">A separate signed agreement, if any, governs services it actually</w:t>
      </w:r>
      <w:r>
        <w:t xml:space="preserve"> </w:t>
      </w:r>
      <w:r>
        <w:t xml:space="preserve">provides.</w:t>
      </w:r>
    </w:p>
    <w:bookmarkEnd w:id="72"/>
    <w:bookmarkStart w:id="75" w:name="software-license-and-rights"/>
    <w:p>
      <w:pPr>
        <w:pStyle w:val="Heading3"/>
      </w:pPr>
      <w:r>
        <w:t xml:space="preserve">Software license and rights</w:t>
      </w:r>
    </w:p>
    <w:p>
      <w:pPr>
        <w:pStyle w:val="FirstParagraph"/>
      </w:pPr>
      <w:r>
        <w:t xml:space="preserve">Current Townlight-owned distributions identified in this candidate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AGPL-3.0-only</w:t>
      </w:r>
      <w:r>
        <w:t xml:space="preserve">. The full license is supplied with</w:t>
      </w:r>
      <w:r>
        <w:t xml:space="preserve"> </w:t>
      </w:r>
      <w:r>
        <w:t xml:space="preserve">this documentation and with the source companion. The license governs</w:t>
      </w:r>
      <w:r>
        <w:t xml:space="preserve"> </w:t>
      </w:r>
      <w:r>
        <w:t xml:space="preserve">rights to run, copy, modify and convey the covered software; these</w:t>
      </w:r>
      <w:r>
        <w:t xml:space="preserve"> </w:t>
      </w:r>
      <w:r>
        <w:t xml:space="preserve">operational terms do not add restrictions to those rights. Historical</w:t>
      </w:r>
      <w:r>
        <w:t xml:space="preserve"> </w:t>
      </w:r>
      <w:r>
        <w:t xml:space="preserve">grants and dependency licenses retain their own terms. CivicCast remains</w:t>
      </w:r>
      <w:r>
        <w:t xml:space="preserve"> </w:t>
      </w:r>
      <w:r>
        <w:t xml:space="preserve">a separate product and is not relicensed by this documentation work.</w:t>
      </w:r>
    </w:p>
    <w:p>
      <w:pPr>
        <w:pStyle w:val="BodyText"/>
      </w:pPr>
      <w:r>
        <w:t xml:space="preserve">When conveying covered software, retain applicable notices and</w:t>
      </w:r>
      <w:r>
        <w:t xml:space="preserve"> </w:t>
      </w:r>
      <w:r>
        <w:t xml:space="preserve">provide the corresponding source and installation/build information</w:t>
      </w:r>
      <w:r>
        <w:t xml:space="preserve"> </w:t>
      </w:r>
      <w:r>
        <w:t xml:space="preserve">required by the license. For a modified version supporting remote</w:t>
      </w:r>
      <w:r>
        <w:t xml:space="preserve"> </w:t>
      </w:r>
      <w:r>
        <w:t xml:space="preserve">network interaction, follow section 13’s source-offer requirement. The</w:t>
      </w:r>
      <w:r>
        <w:t xml:space="preserve"> </w:t>
      </w:r>
      <w:r>
        <w:t xml:space="preserve">companion archive identifies the source for this candidate; a link to a</w:t>
      </w:r>
      <w:r>
        <w:t xml:space="preserve"> </w:t>
      </w:r>
      <w:r>
        <w:t xml:space="preserve">different public branch is not a substitute for the matching source.</w:t>
      </w:r>
      <w:r>
        <w:t xml:space="preserve"> </w:t>
      </w:r>
      <w:r>
        <w:t xml:space="preserve">Read the supplied license for the complete conditions. See the</w:t>
      </w:r>
      <w:r>
        <w:t xml:space="preserve"> </w:t>
      </w:r>
      <w:hyperlink r:id="rId73">
        <w:r>
          <w:rPr>
            <w:rStyle w:val="Hyperlink"/>
          </w:rPr>
          <w:t xml:space="preserve">GNU license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and</w:t>
      </w:r>
      <w:r>
        <w:t xml:space="preserve"> </w:t>
      </w:r>
      <w:hyperlink r:id="rId74">
        <w:r>
          <w:rPr>
            <w:rStyle w:val="Hyperlink"/>
          </w:rPr>
          <w:t xml:space="preserve">GNU licensing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</w:t>
        </w:r>
      </w:hyperlink>
      <w:r>
        <w:t xml:space="preserve">.</w:t>
      </w:r>
    </w:p>
    <w:bookmarkEnd w:id="75"/>
    <w:bookmarkStart w:id="76" w:name="data-ownership-and-access"/>
    <w:p>
      <w:pPr>
        <w:pStyle w:val="Heading3"/>
      </w:pPr>
      <w:r>
        <w:t xml:space="preserve">Data ownership and access</w:t>
      </w:r>
    </w:p>
    <w:p>
      <w:pPr>
        <w:pStyle w:val="FirstParagraph"/>
      </w:pPr>
      <w:r>
        <w:t xml:space="preserve">Importing a document does not transfer its ownership or grant</w:t>
      </w:r>
      <w:r>
        <w:t xml:space="preserve"> </w:t>
      </w:r>
      <w:r>
        <w:t xml:space="preserve">permission to publish it. The operating organization controls its</w:t>
      </w:r>
      <w:r>
        <w:t xml:space="preserve"> </w:t>
      </w:r>
      <w:r>
        <w:t xml:space="preserve">accounts, access decisions, lawful source use, retention and</w:t>
      </w:r>
      <w:r>
        <w:t xml:space="preserve"> </w:t>
      </w:r>
      <w:r>
        <w:t xml:space="preserve">review/release policy. Keep resident information, credentials, private</w:t>
      </w:r>
      <w:r>
        <w:t xml:space="preserve"> </w:t>
      </w:r>
      <w:r>
        <w:t xml:space="preserve">notes and restricted evidence in their authorized locations.</w:t>
      </w:r>
      <w:r>
        <w:t xml:space="preserve"> </w:t>
      </w:r>
      <w:r>
        <w:t xml:space="preserve">Documentation examples contain fictional data. No real city account,</w:t>
      </w:r>
      <w:r>
        <w:t xml:space="preserve"> </w:t>
      </w:r>
      <w:r>
        <w:t xml:space="preserve">credential or record is required to exercise these examples in an</w:t>
      </w:r>
      <w:r>
        <w:t xml:space="preserve"> </w:t>
      </w:r>
      <w:r>
        <w:t xml:space="preserve">isolated test environment.</w:t>
      </w:r>
    </w:p>
    <w:bookmarkEnd w:id="76"/>
    <w:bookmarkStart w:id="77" w:name="local-operation-and-external-processors"/>
    <w:p>
      <w:pPr>
        <w:pStyle w:val="Heading3"/>
      </w:pPr>
      <w:r>
        <w:t xml:space="preserve">Local operation and</w:t>
      </w:r>
      <w:r>
        <w:t xml:space="preserve"> </w:t>
      </w:r>
      <w:r>
        <w:t xml:space="preserve">external processors</w:t>
      </w:r>
    </w:p>
    <w:p>
      <w:pPr>
        <w:pStyle w:val="FirstParagraph"/>
      </w:pPr>
      <w:r>
        <w:t xml:space="preserve">The accepted beta workflow is local and uses named staff accounts.</w:t>
      </w:r>
      <w:r>
        <w:t xml:space="preserve"> </w:t>
      </w:r>
      <w:r>
        <w:t xml:space="preserve">Station has separate storage and credentials. Configure backup</w:t>
      </w:r>
      <w:r>
        <w:t xml:space="preserve"> </w:t>
      </w:r>
      <w:r>
        <w:t xml:space="preserve">destinations and optional model/network providers deliberately. A</w:t>
      </w:r>
      <w:r>
        <w:t xml:space="preserve"> </w:t>
      </w:r>
      <w:r>
        <w:t xml:space="preserve">configured external provider may receive submitted prompts, images or</w:t>
      </w:r>
      <w:r>
        <w:t xml:space="preserve"> </w:t>
      </w:r>
      <w:r>
        <w:t xml:space="preserve">audio according to that configuration and provider’s terms; this</w:t>
      </w:r>
      <w:r>
        <w:t xml:space="preserve"> </w:t>
      </w:r>
      <w:r>
        <w:t xml:space="preserve">documentation does not promise that every optional configuration is</w:t>
      </w:r>
      <w:r>
        <w:t xml:space="preserve"> </w:t>
      </w:r>
      <w:r>
        <w:t xml:space="preserve">offline. An email outbox or local public view does not establish</w:t>
      </w:r>
      <w:r>
        <w:t xml:space="preserve"> </w:t>
      </w:r>
      <w:r>
        <w:t xml:space="preserve">external delivery or an internet deployment. This static documentation</w:t>
      </w:r>
      <w:r>
        <w:t xml:space="preserve"> </w:t>
      </w:r>
      <w:r>
        <w:t xml:space="preserve">site has no analytics, account collection or remote font dependency.</w:t>
      </w:r>
    </w:p>
    <w:bookmarkEnd w:id="77"/>
    <w:bookmarkStart w:id="78" w:name="staff-decisions-and-source-applicability"/>
    <w:p>
      <w:pPr>
        <w:pStyle w:val="Heading3"/>
      </w:pPr>
      <w:r>
        <w:t xml:space="preserve">Staff decisions and</w:t>
      </w:r>
      <w:r>
        <w:t xml:space="preserve"> </w:t>
      </w:r>
      <w:r>
        <w:t xml:space="preserve">source applicability</w:t>
      </w:r>
    </w:p>
    <w:p>
      <w:pPr>
        <w:pStyle w:val="FirstParagraph"/>
      </w:pPr>
      <w:r>
        <w:t xml:space="preserve">Staff verify the jurisdiction, source currency, permissions,</w:t>
      </w:r>
      <w:r>
        <w:t xml:space="preserve"> </w:t>
      </w:r>
      <w:r>
        <w:t xml:space="preserve">citations and proposed audience. Model output and generated guidance</w:t>
      </w:r>
      <w:r>
        <w:t xml:space="preserve"> </w:t>
      </w:r>
      <w:r>
        <w:t xml:space="preserve">require review. No draft is automatically an official legal</w:t>
      </w:r>
      <w:r>
        <w:t xml:space="preserve"> </w:t>
      </w:r>
      <w:r>
        <w:t xml:space="preserve">interpretation, zoning determination, permit approval, fee assessment,</w:t>
      </w:r>
      <w:r>
        <w:t xml:space="preserve"> </w:t>
      </w:r>
      <w:r>
        <w:t xml:space="preserve">enforcement notice or records-release decision. Official permit fee</w:t>
      </w:r>
      <w:r>
        <w:t xml:space="preserve"> </w:t>
      </w:r>
      <w:r>
        <w:t xml:space="preserve">authority remains with the adopted source and responsible organization;</w:t>
      </w:r>
      <w:r>
        <w:t xml:space="preserve"> </w:t>
      </w:r>
      <w:r>
        <w:t xml:space="preserve">imported amounts do not become a new authoritative calculation.</w:t>
      </w:r>
    </w:p>
    <w:bookmarkEnd w:id="78"/>
    <w:bookmarkStart w:id="79" w:name="beta-operation-and-recovery"/>
    <w:p>
      <w:pPr>
        <w:pStyle w:val="Heading3"/>
      </w:pPr>
      <w:r>
        <w:t xml:space="preserve">Beta operation and recovery</w:t>
      </w:r>
    </w:p>
    <w:p>
      <w:pPr>
        <w:pStyle w:val="FirstParagraph"/>
      </w:pPr>
      <w:r>
        <w:t xml:space="preserve">Use the identified candidate in its supported fresh-install scope.</w:t>
      </w:r>
      <w:r>
        <w:t xml:space="preserve"> </w:t>
      </w:r>
      <w:r>
        <w:t xml:space="preserve">Preserve backups and original evidence. Test physical equipment and</w:t>
      </w:r>
      <w:r>
        <w:t xml:space="preserve"> </w:t>
      </w:r>
      <w:r>
        <w:t xml:space="preserve">chosen network/service configuration before relying on them. The</w:t>
      </w:r>
      <w:r>
        <w:t xml:space="preserve"> </w:t>
      </w:r>
      <w:r>
        <w:t xml:space="preserve">supplied acceptance describes selected synthetic workflows, not every</w:t>
      </w:r>
      <w:r>
        <w:t xml:space="preserve"> </w:t>
      </w:r>
      <w:r>
        <w:t xml:space="preserve">screen, vendor, field condition or upgrade. Operators decide whether a</w:t>
      </w:r>
      <w:r>
        <w:t xml:space="preserve"> </w:t>
      </w:r>
      <w:r>
        <w:t xml:space="preserve">particular deployment meets their own operational obligations.</w:t>
      </w:r>
    </w:p>
    <w:bookmarkEnd w:id="79"/>
    <w:bookmarkStart w:id="80" w:name="warranty-and-liability"/>
    <w:p>
      <w:pPr>
        <w:pStyle w:val="Heading3"/>
      </w:pPr>
      <w:r>
        <w:t xml:space="preserve">Warranty and liability</w:t>
      </w:r>
    </w:p>
    <w:p>
      <w:pPr>
        <w:pStyle w:val="FirstParagraph"/>
      </w:pPr>
      <w:r>
        <w:t xml:space="preserve">The covered software’s warranty and liability conditions are those in</w:t>
      </w:r>
      <w:r>
        <w:t xml:space="preserve"> </w:t>
      </w:r>
      <w:r>
        <w:t xml:space="preserve">sections 15–17 of the supplied AGPL and any applicable separate written</w:t>
      </w:r>
      <w:r>
        <w:t xml:space="preserve"> </w:t>
      </w:r>
      <w:r>
        <w:t xml:space="preserve">undertaking. This documentation creates no additional warranty or</w:t>
      </w:r>
      <w:r>
        <w:t xml:space="preserve"> </w:t>
      </w:r>
      <w:r>
        <w:t xml:space="preserve">limitation beyond those terms. Third-party software is subject to its</w:t>
      </w:r>
      <w:r>
        <w:t xml:space="preserve"> </w:t>
      </w:r>
      <w:r>
        <w:t xml:space="preserve">retained license notices. Nothing here removes rights that applicable</w:t>
      </w:r>
      <w:r>
        <w:t xml:space="preserve"> </w:t>
      </w:r>
      <w:r>
        <w:t xml:space="preserve">law makes nonwaivable.</w:t>
      </w:r>
    </w:p>
    <w:bookmarkEnd w:id="80"/>
    <w:bookmarkStart w:id="81" w:name="support-and-incident-reporting"/>
    <w:p>
      <w:pPr>
        <w:pStyle w:val="Heading3"/>
      </w:pPr>
      <w:r>
        <w:t xml:space="preserve">Support and incident</w:t>
      </w:r>
      <w:r>
        <w:t xml:space="preserve"> </w:t>
      </w:r>
      <w:r>
        <w:t xml:space="preserve">reporting</w:t>
      </w:r>
    </w:p>
    <w:p>
      <w:pPr>
        <w:pStyle w:val="FirstParagraph"/>
      </w:pPr>
      <w:r>
        <w:t xml:space="preserve">Use the project’s existing SUPPORT and SECURITY guidance for its</w:t>
      </w:r>
      <w:r>
        <w:t xml:space="preserve"> </w:t>
      </w:r>
      <w:r>
        <w:t xml:space="preserve">matching repository. Report reproducible behavior with the version,</w:t>
      </w:r>
      <w:r>
        <w:t xml:space="preserve"> </w:t>
      </w:r>
      <w:r>
        <w:t xml:space="preserve">operation and redacted logs. Do not put credentials, resident records or</w:t>
      </w:r>
      <w:r>
        <w:t xml:space="preserve"> </w:t>
      </w:r>
      <w:r>
        <w:t xml:space="preserve">unredacted evidence in a public issue. Coordinate sensitive reports</w:t>
      </w:r>
      <w:r>
        <w:t xml:space="preserve"> </w:t>
      </w:r>
      <w:r>
        <w:t xml:space="preserve">through the channel designated in SECURITY. No new support address or</w:t>
      </w:r>
      <w:r>
        <w:t xml:space="preserve"> </w:t>
      </w:r>
      <w:r>
        <w:t xml:space="preserve">service commitment is invented here.</w:t>
      </w:r>
    </w:p>
    <w:bookmarkEnd w:id="81"/>
    <w:bookmarkStart w:id="82" w:name="X31f05bddf6aa9d1ff47b7e67ed4759e27e0b8e9"/>
    <w:p>
      <w:pPr>
        <w:pStyle w:val="Heading3"/>
      </w:pPr>
      <w:r>
        <w:t xml:space="preserve">Ending a beta</w:t>
      </w:r>
      <w:r>
        <w:t xml:space="preserve"> </w:t>
      </w:r>
      <w:r>
        <w:t xml:space="preserve">exercise and document changes</w:t>
      </w:r>
    </w:p>
    <w:p>
      <w:pPr>
        <w:pStyle w:val="FirstParagraph"/>
      </w:pPr>
      <w:r>
        <w:t xml:space="preserve">When an organization ends testing, it controls retention/export and</w:t>
      </w:r>
      <w:r>
        <w:t xml:space="preserve"> </w:t>
      </w:r>
      <w:r>
        <w:t xml:space="preserve">removes access according to its policy. Uninstall may retain data; back</w:t>
      </w:r>
      <w:r>
        <w:t xml:space="preserve"> </w:t>
      </w:r>
      <w:r>
        <w:t xml:space="preserve">up and inspect the selected removal options. Ending an exercise does not</w:t>
      </w:r>
      <w:r>
        <w:t xml:space="preserve"> </w:t>
      </w:r>
      <w:r>
        <w:t xml:space="preserve">revoke rights already granted by AGPL. Later software/documentation</w:t>
      </w:r>
      <w:r>
        <w:t xml:space="preserve"> </w:t>
      </w:r>
      <w:r>
        <w:t xml:space="preserve">versions must identify their changed candidate and scope; historical</w:t>
      </w:r>
      <w:r>
        <w:t xml:space="preserve"> </w:t>
      </w:r>
      <w:r>
        <w:t xml:space="preserve">receipts retain their original identities. These terms do not claim that</w:t>
      </w:r>
      <w:r>
        <w:t xml:space="preserve"> </w:t>
      </w:r>
      <w:r>
        <w:t xml:space="preserve">a city has accepted a contract merely by reading a manual.</w:t>
      </w:r>
    </w:p>
    <w:bookmarkEnd w:id="82"/>
    <w:bookmarkEnd w:id="83"/>
    <w:bookmarkStart w:id="84" w:name="glossary"/>
    <w:p>
      <w:pPr>
        <w:pStyle w:val="Heading2"/>
      </w:pPr>
      <w: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An explicit authorized decision on the saved text/artifact. It is</w:t>
            </w:r>
            <w:r>
              <w:t xml:space="preserve"> </w:t>
            </w:r>
            <w:r>
              <w:t xml:space="preserve">separate from saving or attachment.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record</w:t>
            </w:r>
          </w:p>
        </w:tc>
        <w:tc>
          <w:tcPr/>
          <w:p>
            <w:pPr>
              <w:pStyle w:val="Compact"/>
            </w:pPr>
            <w:r>
              <w:t xml:space="preserve">The owning product’s retained identity and saved version, rather</w:t>
            </w:r>
            <w:r>
              <w:t xml:space="preserve"> </w:t>
            </w:r>
            <w:r>
              <w:t xml:space="preserve">than an editable copied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Composition</w:t>
            </w:r>
          </w:p>
        </w:tc>
        <w:tc>
          <w:tcPr/>
          <w:p>
            <w:pPr>
              <w:pStyle w:val="Compact"/>
            </w:pPr>
            <w:r>
              <w:t xml:space="preserve">The selected set of desktop modules; inspections-preview exposes the</w:t>
            </w:r>
            <w:r>
              <w:t xml:space="preserve"> </w:t>
            </w:r>
            <w:r>
              <w:t xml:space="preserve">eight staff products.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The source/build material matching the delivered covered program,</w:t>
            </w:r>
            <w:r>
              <w:t xml:space="preserve"> </w:t>
            </w:r>
            <w:r>
              <w:t xml:space="preserve">subject to its license.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Derivative / Records copy</w:t>
            </w:r>
          </w:p>
        </w:tc>
        <w:tc>
          <w:tcPr/>
          <w:p>
            <w:pPr>
              <w:pStyle w:val="Compact"/>
            </w:pPr>
            <w:r>
              <w:t xml:space="preserve">A separately prepared document with its own intended audience and</w:t>
            </w:r>
            <w:r>
              <w:t xml:space="preserve"> </w:t>
            </w:r>
            <w:r>
              <w:t xml:space="preserve">hash.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/ SHA256</w:t>
            </w:r>
          </w:p>
        </w:tc>
        <w:tc>
          <w:tcPr/>
          <w:p>
            <w:pPr>
              <w:pStyle w:val="Compact"/>
            </w:pPr>
            <w:r>
              <w:t xml:space="preserve">A fingerprint of exact bytes. It detects change; it does not</w:t>
            </w:r>
            <w:r>
              <w:t xml:space="preserve"> </w:t>
            </w:r>
            <w:r>
              <w:t xml:space="preserve">establish legal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Idempotency</w:t>
            </w:r>
          </w:p>
        </w:tc>
        <w:tc>
          <w:tcPr/>
          <w:p>
            <w:pPr>
              <w:pStyle w:val="Compact"/>
            </w:pPr>
            <w:r>
              <w:t xml:space="preserve">Repeating the same identified request has the same intended effect;</w:t>
            </w:r>
            <w:r>
              <w:t xml:space="preserve"> </w:t>
            </w:r>
            <w:r>
              <w:t xml:space="preserve">changing its payload can be refused.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</w:t>
            </w:r>
          </w:p>
        </w:tc>
        <w:tc>
          <w:tcPr/>
          <w:p>
            <w:pPr>
              <w:pStyle w:val="Compact"/>
            </w:pPr>
            <w:r>
              <w:t xml:space="preserve">The native desktop command boundary between its browser interface</w:t>
            </w:r>
            <w:r>
              <w:t xml:space="preserve"> </w:t>
            </w:r>
            <w:r>
              <w:t xml:space="preserve">and Rust host.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</w:t>
            </w:r>
          </w:p>
        </w:tc>
        <w:tc>
          <w:tcPr/>
          <w:p>
            <w:pPr>
              <w:pStyle w:val="Compact"/>
            </w:pPr>
            <w:r>
              <w:t xml:space="preserve">Model Context Protocol; no direct Townlight product server is</w:t>
            </w:r>
            <w:r>
              <w:t xml:space="preserve"> </w:t>
            </w:r>
            <w:r>
              <w:t xml:space="preserve">enabled by this beta.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Original</w:t>
            </w:r>
          </w:p>
        </w:tc>
        <w:tc>
          <w:tcPr/>
          <w:p>
            <w:pPr>
              <w:pStyle w:val="Compact"/>
            </w:pPr>
            <w:r>
              <w:t xml:space="preserve">Retained source bytes. A reviewed derivative does not replace</w:t>
            </w:r>
            <w:r>
              <w:t xml:space="preserve"> </w:t>
            </w:r>
            <w:r>
              <w:t xml:space="preserve">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Source, version, date, actor and relationship information retained</w:t>
            </w:r>
            <w:r>
              <w:t xml:space="preserve"> </w:t>
            </w:r>
            <w:r>
              <w:t xml:space="preserve">with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Revision</w:t>
            </w:r>
          </w:p>
        </w:tc>
        <w:tc>
          <w:tcPr/>
          <w:p>
            <w:pPr>
              <w:pStyle w:val="Compact"/>
            </w:pPr>
            <w:r>
              <w:t xml:space="preserve">An immutable saved version. Later edits do not inherit an earlier</w:t>
            </w:r>
            <w:r>
              <w:t xml:space="preserve"> </w:t>
            </w:r>
            <w:r>
              <w:t xml:space="preserve">review automatically.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Snapshot</w:t>
            </w:r>
          </w:p>
        </w:tc>
        <w:tc>
          <w:tcPr/>
          <w:p>
            <w:pPr>
              <w:pStyle w:val="Compact"/>
            </w:pPr>
            <w:r>
              <w:t xml:space="preserve">A fixed audience-specific copy tied to a source/reviewed</w:t>
            </w:r>
            <w:r>
              <w:t xml:space="preserve"> </w:t>
            </w:r>
            <w:r>
              <w:t xml:space="preserve">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Townlight’s separate media boundary using a pinned CivicCast-derived</w:t>
            </w:r>
            <w:r>
              <w:t xml:space="preserve"> </w:t>
            </w:r>
            <w:r>
              <w:t xml:space="preserve">engine; standalone CivicCast remains separate.</w:t>
            </w:r>
          </w:p>
        </w:tc>
      </w:tr>
    </w:tbl>
    <w:bookmarkEnd w:id="84"/>
    <w:bookmarkStart w:id="86" w:name="alphabetical-subject-index"/>
    <w:p>
      <w:pPr>
        <w:pStyle w:val="Heading2"/>
      </w:pPr>
      <w:r>
        <w:t xml:space="preserve">Alphabetical subject index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Accounts and authentication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AGPL and source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API contracts</w:t>
      </w:r>
      <w:r>
        <w:t xml:space="preserve"> </w:t>
      </w:r>
      <w:r>
        <w:t xml:space="preserve">—</w:t>
      </w:r>
      <w:r>
        <w:t xml:space="preserve"> </w:t>
      </w: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Architecture</w:t>
      </w:r>
      <w:r>
        <w:t xml:space="preserve"> </w:t>
      </w:r>
      <w:r>
        <w:t xml:space="preserve">—</w:t>
      </w:r>
      <w:r>
        <w:t xml:space="preserve"> </w:t>
      </w:r>
      <w:hyperlink w:anchor="architecture">
        <w:r>
          <w:rPr>
            <w:rStyle w:val="Hyperlink"/>
          </w:rPr>
          <w:t xml:space="preserve">Architecture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Backup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Beta version</w:t>
      </w:r>
      <w:r>
        <w:t xml:space="preserve"> </w:t>
      </w:r>
      <w:r>
        <w:t xml:space="preserve">—</w:t>
      </w:r>
      <w:r>
        <w:t xml:space="preserve"> </w:t>
      </w: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Evidence and acceptance</w:t>
      </w:r>
      <w:r>
        <w:t xml:space="preserve"> </w:t>
      </w:r>
      <w:r>
        <w:t xml:space="preserve">—</w:t>
      </w:r>
      <w:r>
        <w:t xml:space="preserve"> </w:t>
      </w: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Fees and official decisions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First run</w:t>
      </w:r>
      <w:r>
        <w:t xml:space="preserve"> </w:t>
      </w:r>
      <w:r>
        <w:t xml:space="preserve">—</w:t>
      </w:r>
      <w:r>
        <w:t xml:space="preserve"> </w:t>
      </w:r>
      <w:hyperlink w:anchor="first-run">
        <w:r>
          <w:rPr>
            <w:rStyle w:val="Hyperlink"/>
          </w:rPr>
          <w:t xml:space="preserve">First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run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Handoffs and audience</w:t>
      </w:r>
      <w:r>
        <w:t xml:space="preserve"> </w:t>
      </w:r>
      <w:r>
        <w:t xml:space="preserve">—</w:t>
      </w:r>
      <w:r>
        <w:t xml:space="preserve"> </w:t>
      </w:r>
      <w:hyperlink w:anchor="connected-workflows">
        <w:r>
          <w:rPr>
            <w:rStyle w:val="Hyperlink"/>
          </w:rPr>
          <w:t xml:space="preserve">Connected workflows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MCP</w:t>
      </w:r>
      <w:r>
        <w:t xml:space="preserve"> </w:t>
      </w:r>
      <w:r>
        <w:t xml:space="preserve">—</w:t>
      </w:r>
      <w:r>
        <w:t xml:space="preserve"> </w:t>
      </w:r>
      <w:hyperlink w:anchor="mcp-and-automation-boundary">
        <w:r>
          <w:rPr>
            <w:rStyle w:val="Hyperlink"/>
          </w:rPr>
          <w:t xml:space="preserve">MCP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automation boundary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Originals and provenance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Recovery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Staff procedures</w:t>
      </w:r>
      <w:r>
        <w:t xml:space="preserve"> </w:t>
      </w:r>
      <w:r>
        <w:t xml:space="preserve">—</w:t>
      </w:r>
      <w:r>
        <w:t xml:space="preserve"> </w:t>
      </w: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Station 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Technical stack</w:t>
      </w:r>
      <w:r>
        <w:t xml:space="preserve"> </w:t>
      </w:r>
      <w:r>
        <w:t xml:space="preserve">—</w:t>
      </w:r>
      <w:r>
        <w:t xml:space="preserve"> </w:t>
      </w:r>
      <w:hyperlink w:anchor="technical-specifications">
        <w:r>
          <w:rPr>
            <w:rStyle w:val="Hyperlink"/>
          </w:rPr>
          <w:t xml:space="preserve">Technical specifications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Troubleshooting</w:t>
      </w:r>
      <w:r>
        <w:t xml:space="preserve"> </w:t>
      </w:r>
      <w:r>
        <w:t xml:space="preserve">—</w:t>
      </w:r>
      <w:r>
        <w:t xml:space="preserve"> </w:t>
      </w:r>
      <w:hyperlink w:anchor="troubleshooting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Start w:id="85" w:name="operating-subject-links"/>
    <w:p>
      <w:pPr>
        <w:pStyle w:val="Heading3"/>
      </w:pPr>
      <w:r>
        <w:t xml:space="preserve">Operating subject links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Evidence limits outlines and previous cases</w:t>
      </w:r>
      <w:r>
        <w:t xml:space="preserve"> </w:t>
      </w:r>
      <w:r>
        <w:t xml:space="preserve">—</w:t>
      </w:r>
      <w:r>
        <w:t xml:space="preserve"> </w:t>
      </w:r>
      <w:hyperlink w:anchor="X96df1149949adef27ec03948519fad9c9f5b881">
        <w:r>
          <w:rPr>
            <w:rStyle w:val="Hyperlink"/>
          </w:rPr>
          <w:t xml:space="preserve">Evidence limits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outlines and previous cases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Find earlier retained cases</w:t>
      </w:r>
      <w:r>
        <w:t xml:space="preserve"> </w:t>
      </w:r>
      <w:r>
        <w:t xml:space="preserve">—</w:t>
      </w:r>
      <w:r>
        <w:t xml:space="preserve"> </w:t>
      </w:r>
      <w:hyperlink w:anchor="find-earlier-retained-cases">
        <w:r>
          <w:rPr>
            <w:rStyle w:val="Hyperlink"/>
          </w:rPr>
          <w:t xml:space="preserve">Find earlier retained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cases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Prepare an outline for review</w:t>
      </w:r>
      <w:r>
        <w:t xml:space="preserve"> </w:t>
      </w:r>
      <w:r>
        <w:t xml:space="preserve">—</w:t>
      </w:r>
      <w:r>
        <w:t xml:space="preserve"> </w:t>
      </w:r>
      <w:hyperlink w:anchor="prepare-an-outline-for-review">
        <w:r>
          <w:rPr>
            <w:rStyle w:val="Hyperlink"/>
          </w:rPr>
          <w:t xml:space="preserve">Prepare an outline for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review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Select supported original files</w:t>
      </w:r>
      <w:r>
        <w:t xml:space="preserve"> </w:t>
      </w:r>
      <w:r>
        <w:t xml:space="preserve">—</w:t>
      </w:r>
      <w:r>
        <w:t xml:space="preserve"> </w:t>
      </w:r>
      <w:hyperlink w:anchor="select-supported-original-files">
        <w:r>
          <w:rPr>
            <w:rStyle w:val="Hyperlink"/>
          </w:rPr>
          <w:t xml:space="preserve">Select supported original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files</w:t>
        </w:r>
      </w:hyperlink>
      <w:r>
        <w:t xml:space="preserve">.</w:t>
      </w:r>
    </w:p>
    <w:bookmarkEnd w:id="85"/>
    <w:bookmarkEnd w:id="86"/>
    <w:bookmarkStart w:id="92" w:name="source-and-document-control"/>
    <w:p>
      <w:pPr>
        <w:pStyle w:val="Heading2"/>
      </w:pPr>
      <w:r>
        <w:t xml:space="preserve">Source and document control</w:t>
      </w:r>
    </w:p>
    <w:p>
      <w:pPr>
        <w:pStyle w:val="FirstParagraph"/>
      </w:pPr>
      <w:r>
        <w:t xml:space="preserve">This edition is authored from the immutable corresponding-source</w:t>
      </w:r>
      <w:r>
        <w:t xml:space="preserve"> </w:t>
      </w:r>
      <w:r>
        <w:t xml:space="preserve">companion, the generated installed-domain schema and the retained</w:t>
      </w:r>
      <w:r>
        <w:t xml:space="preserve"> </w:t>
      </w:r>
      <w:r>
        <w:t xml:space="preserve">workflow receipts. The current software versions and signed artifacts</w:t>
      </w:r>
      <w:r>
        <w:t xml:space="preserve"> </w:t>
      </w:r>
      <w:r>
        <w:t xml:space="preserve">are unchanged. Public historical pages are not synchronized or published</w:t>
      </w:r>
      <w:r>
        <w:t xml:space="preserve"> </w:t>
      </w:r>
      <w:r>
        <w:t xml:space="preserve">by this local documentation task.</w:t>
      </w:r>
    </w:p>
    <w:bookmarkStart w:id="91" w:name="workflow-subject-index"/>
    <w:p>
      <w:pPr>
        <w:pStyle w:val="Heading3"/>
      </w:pPr>
      <w:r>
        <w:t xml:space="preserve">Workflow subject index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Choose supplied or automatic text</w:t>
      </w:r>
      <w:r>
        <w:t xml:space="preserve"> </w:t>
      </w:r>
      <w:r>
        <w:t xml:space="preserve">—</w:t>
      </w:r>
      <w:r>
        <w:t xml:space="preserve"> </w:t>
      </w:r>
      <w:hyperlink w:anchor="workflow-3">
        <w:r>
          <w:rPr>
            <w:rStyle w:val="Hyperlink"/>
          </w:rPr>
          <w:t xml:space="preserve">Daily workflow, step 3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Create the case</w:t>
      </w:r>
      <w:r>
        <w:t xml:space="preserve"> </w:t>
      </w:r>
      <w:r>
        <w:t xml:space="preserve">—</w:t>
      </w:r>
      <w:r>
        <w:t xml:space="preserve"> </w:t>
      </w:r>
      <w:hyperlink w:anchor="workflow-1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1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Hand off exact bytes</w:t>
      </w:r>
      <w:r>
        <w:t xml:space="preserve"> </w:t>
      </w:r>
      <w:r>
        <w:t xml:space="preserve">—</w:t>
      </w:r>
      <w:r>
        <w:t xml:space="preserve"> </w:t>
      </w:r>
      <w:hyperlink w:anchor="workflow-7">
        <w:r>
          <w:rPr>
            <w:rStyle w:val="Hyperlink"/>
          </w:rPr>
          <w:t xml:space="preserve">Daily workflow, step 7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Prepare the Records copy</w:t>
      </w:r>
      <w:r>
        <w:t xml:space="preserve"> </w:t>
      </w:r>
      <w:r>
        <w:t xml:space="preserve">—</w:t>
      </w:r>
      <w:r>
        <w:t xml:space="preserve"> </w:t>
      </w:r>
      <w:hyperlink w:anchor="workflow-6">
        <w:r>
          <w:rPr>
            <w:rStyle w:val="Hyperlink"/>
          </w:rPr>
          <w:t xml:space="preserve">Daily workflow, step 6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Retain originals</w:t>
      </w:r>
      <w:r>
        <w:t xml:space="preserve"> </w:t>
      </w:r>
      <w:r>
        <w:t xml:space="preserve">—</w:t>
      </w:r>
      <w:r>
        <w:t xml:space="preserve"> </w:t>
      </w:r>
      <w:hyperlink w:anchor="workflow-2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2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Review the analysis and citations</w:t>
      </w:r>
      <w:r>
        <w:t xml:space="preserve"> </w:t>
      </w:r>
      <w:r>
        <w:t xml:space="preserve">—</w:t>
      </w:r>
      <w:r>
        <w:t xml:space="preserve"> </w:t>
      </w:r>
      <w:hyperlink w:anchor="workflow-4">
        <w:r>
          <w:rPr>
            <w:rStyle w:val="Hyperlink"/>
          </w:rPr>
          <w:t xml:space="preserve">Daily workflow, step 4</w:t>
        </w:r>
      </w:hyperlink>
      <w:r>
        <w:t xml:space="preserve">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Save and record review</w:t>
      </w:r>
      <w:r>
        <w:t xml:space="preserve"> </w:t>
      </w:r>
      <w:r>
        <w:t xml:space="preserve">—</w:t>
      </w:r>
      <w:r>
        <w:t xml:space="preserve"> </w:t>
      </w:r>
      <w:hyperlink w:anchor="workflow-5">
        <w:r>
          <w:rPr>
            <w:rStyle w:val="Hyperlink"/>
          </w:rPr>
          <w:t xml:space="preserve">Daily workflow, step 5</w:t>
        </w:r>
      </w:hyperlink>
      <w:r>
        <w:t xml:space="preserve">.</w:t>
      </w:r>
    </w:p>
    <w:p>
      <w:pPr>
        <w:numPr>
          <w:ilvl w:val="0"/>
          <w:numId w:val="1007"/>
        </w:numPr>
      </w:pPr>
      <w:hyperlink r:id="rId87">
        <w:r>
          <w:rPr>
            <w:rStyle w:val="Hyperlink"/>
          </w:rPr>
          <w:t xml:space="preserve">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inventory and file hashes</w:t>
        </w:r>
      </w:hyperlink>
    </w:p>
    <w:p>
      <w:pPr>
        <w:numPr>
          <w:ilvl w:val="0"/>
          <w:numId w:val="1007"/>
        </w:numPr>
      </w:pPr>
      <w:hyperlink r:id="rId47">
        <w:r>
          <w:rPr>
            <w:rStyle w:val="Hyperlink"/>
          </w:rPr>
          <w:t xml:space="preserve">All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component metadata</w:t>
        </w:r>
      </w:hyperlink>
    </w:p>
    <w:p>
      <w:pPr>
        <w:numPr>
          <w:ilvl w:val="0"/>
          <w:numId w:val="1007"/>
        </w:numPr>
      </w:pPr>
      <w:hyperlink r:id="rId88">
        <w:r>
          <w:rPr>
            <w:rStyle w:val="Hyperlink"/>
          </w:rPr>
          <w:t xml:space="preserve">Installed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domain OpenAPI</w:t>
        </w:r>
      </w:hyperlink>
    </w:p>
    <w:p>
      <w:pPr>
        <w:numPr>
          <w:ilvl w:val="0"/>
          <w:numId w:val="1007"/>
        </w:numPr>
      </w:pPr>
      <w:hyperlink r:id="rId89">
        <w:r>
          <w:rPr>
            <w:rStyle w:val="Hyperlink"/>
          </w:rPr>
          <w:t xml:space="preserve">Workflow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matrix</w:t>
        </w:r>
      </w:hyperlink>
    </w:p>
    <w:p>
      <w:pPr>
        <w:numPr>
          <w:ilvl w:val="0"/>
          <w:numId w:val="1007"/>
        </w:numPr>
      </w:pPr>
      <w:hyperlink r:id="rId90">
        <w:r>
          <w:rPr>
            <w:rStyle w:val="Hyperlink"/>
          </w:rPr>
          <w:t xml:space="preserve">Full AGPL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text</w:t>
        </w:r>
      </w:hyperlink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0" Target="https://townlight.github.io/api/inspections-openapi.json" TargetMode="External" /><Relationship Type="http://schemas.openxmlformats.org/officeDocument/2006/relationships/hyperlink" Id="rId59" Target="https://townlight.github.io/api/inspections.html" TargetMode="External" /><Relationship Type="http://schemas.openxmlformats.org/officeDocument/2006/relationships/hyperlink" Id="rId90" Target="https://townlight.github.io/reference/AGPL-3.0.txt" TargetMode="External" /><Relationship Type="http://schemas.openxmlformats.org/officeDocument/2006/relationships/hyperlink" Id="rId47" Target="https://townlight.github.io/reference/component-metadata.json" TargetMode="External" /><Relationship Type="http://schemas.openxmlformats.org/officeDocument/2006/relationships/hyperlink" Id="rId88" Target="https://townlight.github.io/reference/desktop-domain-openapi.json" TargetMode="External" /><Relationship Type="http://schemas.openxmlformats.org/officeDocument/2006/relationships/hyperlink" Id="rId61" Target="https://townlight.github.io/reference/index.html" TargetMode="External" /><Relationship Type="http://schemas.openxmlformats.org/officeDocument/2006/relationships/hyperlink" Id="rId65" Target="https://townlight.github.io/reference/mcp.html" TargetMode="External" /><Relationship Type="http://schemas.openxmlformats.org/officeDocument/2006/relationships/hyperlink" Id="rId46" Target="https://townlight.github.io/reference/runtime-payload-lock.json" TargetMode="External" /><Relationship Type="http://schemas.openxmlformats.org/officeDocument/2006/relationships/hyperlink" Id="rId70" Target="https://townlight.github.io/reference/sandbox-evidence-index.json" TargetMode="External" /><Relationship Type="http://schemas.openxmlformats.org/officeDocument/2006/relationships/hyperlink" Id="rId87" Target="https://townlight.github.io/reference/source-inventory.json" TargetMode="External" /><Relationship Type="http://schemas.openxmlformats.org/officeDocument/2006/relationships/hyperlink" Id="rId89" Target="https://townlight.github.io/reference/workflow-matrix.json" TargetMode="External" /><Relationship Type="http://schemas.openxmlformats.org/officeDocument/2006/relationships/hyperlink" Id="rId73" Target="https://www.gnu.org/licenses/agpl-3.0.html" TargetMode="External" /><Relationship Type="http://schemas.openxmlformats.org/officeDocument/2006/relationships/hyperlink" Id="rId74" Target="https://www.gnu.org/licenses/gpl-faq.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0" Target="https://townlight.github.io/api/inspections-openapi.json" TargetMode="External" /><Relationship Type="http://schemas.openxmlformats.org/officeDocument/2006/relationships/hyperlink" Id="rId59" Target="https://townlight.github.io/api/inspections.html" TargetMode="External" /><Relationship Type="http://schemas.openxmlformats.org/officeDocument/2006/relationships/hyperlink" Id="rId90" Target="https://townlight.github.io/reference/AGPL-3.0.txt" TargetMode="External" /><Relationship Type="http://schemas.openxmlformats.org/officeDocument/2006/relationships/hyperlink" Id="rId47" Target="https://townlight.github.io/reference/component-metadata.json" TargetMode="External" /><Relationship Type="http://schemas.openxmlformats.org/officeDocument/2006/relationships/hyperlink" Id="rId88" Target="https://townlight.github.io/reference/desktop-domain-openapi.json" TargetMode="External" /><Relationship Type="http://schemas.openxmlformats.org/officeDocument/2006/relationships/hyperlink" Id="rId61" Target="https://townlight.github.io/reference/index.html" TargetMode="External" /><Relationship Type="http://schemas.openxmlformats.org/officeDocument/2006/relationships/hyperlink" Id="rId65" Target="https://townlight.github.io/reference/mcp.html" TargetMode="External" /><Relationship Type="http://schemas.openxmlformats.org/officeDocument/2006/relationships/hyperlink" Id="rId46" Target="https://townlight.github.io/reference/runtime-payload-lock.json" TargetMode="External" /><Relationship Type="http://schemas.openxmlformats.org/officeDocument/2006/relationships/hyperlink" Id="rId70" Target="https://townlight.github.io/reference/sandbox-evidence-index.json" TargetMode="External" /><Relationship Type="http://schemas.openxmlformats.org/officeDocument/2006/relationships/hyperlink" Id="rId87" Target="https://townlight.github.io/reference/source-inventory.json" TargetMode="External" /><Relationship Type="http://schemas.openxmlformats.org/officeDocument/2006/relationships/hyperlink" Id="rId89" Target="https://townlight.github.io/reference/workflow-matrix.json" TargetMode="External" /><Relationship Type="http://schemas.openxmlformats.org/officeDocument/2006/relationships/hyperlink" Id="rId73" Target="https://www.gnu.org/licenses/agpl-3.0.html" TargetMode="External" /><Relationship Type="http://schemas.openxmlformats.org/officeDocument/2006/relationships/hyperlink" Id="rId74" Target="https://www.gnu.org/licenses/gpl-faq.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Inspections Manual</dc:title>
  <dc:creator/>
  <cp:keywords/>
  <dcterms:created xsi:type="dcterms:W3CDTF">2026-11-04T06:03:15Z</dcterms:created>
  <dcterms:modified xsi:type="dcterms:W3CDTF">2026-11-04T06:03:15Z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