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Townlight Core Manual</w:t>
      </w:r>
    </w:p>
    <w:p>
      <w:pPr>
        <w:pStyle w:val="FirstParagraph"/>
      </w:pPr>
      <w:r>
        <w:t xml:space="preserve">Windows x64 Beta 1 · MSI 1.7.0.1</w:t>
      </w:r>
    </w:p>
    <w:p>
      <w:pPr>
        <w:pStyle w:val="BodyText"/>
      </w:pPr>
      <w:r>
        <w:t xml:space="preserve">The signed</w:t>
      </w:r>
      <w:r>
        <w:t xml:space="preserve"> </w:t>
      </w:r>
      <w:hyperlink r:id="rId9">
        <w:r>
          <w:rPr>
            <w:rStyle w:val="Hyperlink"/>
          </w:rPr>
          <w:t xml:space="preserve">Windows x64 beta 1.7.0.1</w:t>
        </w:r>
      </w:hyperlink>
      <w:r>
        <w:t xml:space="preserve"> </w:t>
      </w:r>
      <w:r>
        <w:t xml:space="preserve">passed the documented fresh Windows Sandbox checks with synthetic data.</w:t>
      </w:r>
    </w:p>
    <w:p>
      <w:pPr>
        <w:pStyle w:val="Compact"/>
        <w:numPr>
          <w:ilvl w:val="0"/>
          <w:numId w:val="1001"/>
        </w:numPr>
      </w:pPr>
      <w:hyperlink w:anchor="townlight-core-manual">
        <w:r>
          <w:rPr>
            <w:rStyle w:val="Hyperlink"/>
          </w:rPr>
          <w:t xml:space="preserve">Townlight Core Manual</w:t>
        </w:r>
      </w:hyperlink>
    </w:p>
    <w:p>
      <w:pPr>
        <w:pStyle w:val="Compact"/>
        <w:numPr>
          <w:ilvl w:val="1"/>
          <w:numId w:val="1002"/>
        </w:numPr>
      </w:pPr>
      <w:hyperlink w:anchor="contents">
        <w:r>
          <w:rPr>
            <w:rStyle w:val="Hyperlink"/>
          </w:rPr>
          <w:t xml:space="preserve">Contents</w:t>
        </w:r>
      </w:hyperlink>
    </w:p>
    <w:p>
      <w:pPr>
        <w:pStyle w:val="Compact"/>
        <w:numPr>
          <w:ilvl w:val="1"/>
          <w:numId w:val="1002"/>
        </w:numPr>
      </w:pPr>
      <w:hyperlink w:anchor="using-this-manual">
        <w:r>
          <w:rPr>
            <w:rStyle w:val="Hyperlink"/>
          </w:rPr>
          <w:t xml:space="preserve">Using this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manual</w:t>
        </w:r>
      </w:hyperlink>
    </w:p>
    <w:p>
      <w:pPr>
        <w:pStyle w:val="Compact"/>
        <w:numPr>
          <w:ilvl w:val="1"/>
          <w:numId w:val="1002"/>
        </w:numPr>
      </w:pPr>
      <w:hyperlink w:anchor="beta-identity">
        <w:r>
          <w:rPr>
            <w:rStyle w:val="Hyperlink"/>
          </w:rPr>
          <w:t xml:space="preserve">Beta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identity</w:t>
        </w:r>
      </w:hyperlink>
    </w:p>
    <w:p>
      <w:pPr>
        <w:pStyle w:val="Compact"/>
        <w:numPr>
          <w:ilvl w:val="1"/>
          <w:numId w:val="1002"/>
        </w:numPr>
      </w:pPr>
      <w:hyperlink w:anchor="first-run">
        <w:r>
          <w:rPr>
            <w:rStyle w:val="Hyperlink"/>
          </w:rPr>
          <w:t xml:space="preserve">First run</w:t>
        </w:r>
      </w:hyperlink>
    </w:p>
    <w:p>
      <w:pPr>
        <w:pStyle w:val="Compact"/>
        <w:numPr>
          <w:ilvl w:val="1"/>
          <w:numId w:val="1002"/>
        </w:numPr>
      </w:pPr>
      <w:hyperlink w:anchor="daily-workflow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</w:t>
        </w:r>
      </w:hyperlink>
    </w:p>
    <w:p>
      <w:pPr>
        <w:pStyle w:val="Compact"/>
        <w:numPr>
          <w:ilvl w:val="1"/>
          <w:numId w:val="1002"/>
        </w:numPr>
      </w:pPr>
      <w:hyperlink w:anchor="connected-workflows">
        <w:r>
          <w:rPr>
            <w:rStyle w:val="Hyperlink"/>
          </w:rPr>
          <w:t xml:space="preserve">Connected workflows</w:t>
        </w:r>
      </w:hyperlink>
    </w:p>
    <w:p>
      <w:pPr>
        <w:pStyle w:val="Compact"/>
        <w:numPr>
          <w:ilvl w:val="1"/>
          <w:numId w:val="1002"/>
        </w:numPr>
      </w:pPr>
      <w:hyperlink w:anchor="architecture">
        <w:r>
          <w:rPr>
            <w:rStyle w:val="Hyperlink"/>
          </w:rPr>
          <w:t xml:space="preserve">Architecture</w:t>
        </w:r>
      </w:hyperlink>
    </w:p>
    <w:p>
      <w:pPr>
        <w:pStyle w:val="Compact"/>
        <w:numPr>
          <w:ilvl w:val="1"/>
          <w:numId w:val="1002"/>
        </w:numPr>
      </w:pPr>
      <w:hyperlink w:anchor="shared-catalog-rules-and-scaffolding">
        <w:r>
          <w:rPr>
            <w:rStyle w:val="Hyperlink"/>
          </w:rPr>
          <w:t xml:space="preserve">Shared catalog rules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scaffolding</w:t>
        </w:r>
      </w:hyperlink>
    </w:p>
    <w:p>
      <w:pPr>
        <w:pStyle w:val="Compact"/>
        <w:numPr>
          <w:ilvl w:val="1"/>
          <w:numId w:val="1002"/>
        </w:numPr>
      </w:pPr>
      <w:hyperlink w:anchor="technical-specifications">
        <w:r>
          <w:rPr>
            <w:rStyle w:val="Hyperlink"/>
          </w:rPr>
          <w:t xml:space="preserve">Technical specifications</w:t>
        </w:r>
      </w:hyperlink>
    </w:p>
    <w:p>
      <w:pPr>
        <w:pStyle w:val="Compact"/>
        <w:numPr>
          <w:ilvl w:val="1"/>
          <w:numId w:val="1002"/>
        </w:numPr>
      </w:pP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</w:p>
    <w:p>
      <w:pPr>
        <w:pStyle w:val="Compact"/>
        <w:numPr>
          <w:ilvl w:val="1"/>
          <w:numId w:val="1002"/>
        </w:numPr>
      </w:pP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</w:p>
    <w:p>
      <w:pPr>
        <w:pStyle w:val="Compact"/>
        <w:numPr>
          <w:ilvl w:val="1"/>
          <w:numId w:val="1002"/>
        </w:numPr>
      </w:pPr>
      <w:hyperlink w:anchor="mcp-and-automation-boundary">
        <w:r>
          <w:rPr>
            <w:rStyle w:val="Hyperlink"/>
          </w:rPr>
          <w:t xml:space="preserve">MCP and automation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boundary</w:t>
        </w:r>
      </w:hyperlink>
    </w:p>
    <w:p>
      <w:pPr>
        <w:pStyle w:val="Compact"/>
        <w:numPr>
          <w:ilvl w:val="1"/>
          <w:numId w:val="1002"/>
        </w:numPr>
      </w:pPr>
      <w:hyperlink w:anchor="security-and-permissions">
        <w:r>
          <w:rPr>
            <w:rStyle w:val="Hyperlink"/>
          </w:rPr>
          <w:t xml:space="preserve">Security and permissions</w:t>
        </w:r>
      </w:hyperlink>
    </w:p>
    <w:p>
      <w:pPr>
        <w:pStyle w:val="Compact"/>
        <w:numPr>
          <w:ilvl w:val="1"/>
          <w:numId w:val="1002"/>
        </w:numPr>
      </w:pP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</w:p>
    <w:p>
      <w:pPr>
        <w:pStyle w:val="Compact"/>
        <w:numPr>
          <w:ilvl w:val="1"/>
          <w:numId w:val="1002"/>
        </w:numPr>
      </w:pPr>
      <w:hyperlink w:anchor="troubleshooting">
        <w:r>
          <w:rPr>
            <w:rStyle w:val="Hyperlink"/>
          </w:rPr>
          <w:t xml:space="preserve">Troubleshooting</w:t>
        </w:r>
      </w:hyperlink>
    </w:p>
    <w:p>
      <w:pPr>
        <w:pStyle w:val="Compact"/>
        <w:numPr>
          <w:ilvl w:val="1"/>
          <w:numId w:val="1002"/>
        </w:numPr>
      </w:pP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</w:p>
    <w:p>
      <w:pPr>
        <w:pStyle w:val="Compact"/>
        <w:numPr>
          <w:ilvl w:val="1"/>
          <w:numId w:val="1002"/>
        </w:numPr>
      </w:pP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</w:p>
    <w:p>
      <w:pPr>
        <w:pStyle w:val="Compact"/>
        <w:numPr>
          <w:ilvl w:val="1"/>
          <w:numId w:val="1002"/>
        </w:numPr>
      </w:pPr>
      <w:hyperlink w:anchor="glossary">
        <w:r>
          <w:rPr>
            <w:rStyle w:val="Hyperlink"/>
          </w:rPr>
          <w:t xml:space="preserve">Glossary</w:t>
        </w:r>
      </w:hyperlink>
    </w:p>
    <w:p>
      <w:pPr>
        <w:pStyle w:val="Compact"/>
        <w:numPr>
          <w:ilvl w:val="1"/>
          <w:numId w:val="1002"/>
        </w:numPr>
      </w:pPr>
      <w:hyperlink w:anchor="alphabetical-subject-index">
        <w:r>
          <w:rPr>
            <w:rStyle w:val="Hyperlink"/>
          </w:rPr>
          <w:t xml:space="preserve">Alphabetical subject index</w:t>
        </w:r>
      </w:hyperlink>
    </w:p>
    <w:p>
      <w:pPr>
        <w:pStyle w:val="Compact"/>
        <w:numPr>
          <w:ilvl w:val="1"/>
          <w:numId w:val="1002"/>
        </w:numPr>
      </w:pPr>
      <w:hyperlink w:anchor="source-and-document-control">
        <w:r>
          <w:rPr>
            <w:rStyle w:val="Hyperlink"/>
          </w:rPr>
          <w:t xml:space="preserve">Source and document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control</w:t>
        </w:r>
      </w:hyperlink>
    </w:p>
    <w:bookmarkStart w:id="93" w:name="townlight-core-manual"/>
    <w:p>
      <w:pPr>
        <w:pStyle w:val="Heading1"/>
      </w:pPr>
      <w:r>
        <w:t xml:space="preserve">Townlight Core Manual</w:t>
      </w:r>
    </w:p>
    <w:p>
      <w:pPr>
        <w:pStyle w:val="FirstParagraph"/>
      </w:pPr>
      <w:r>
        <w:rPr>
          <w:b/>
          <w:bCs/>
        </w:rPr>
        <w:t xml:space="preserve">Townlight Beta 1</w:t>
      </w:r>
      <w:r>
        <w:t xml:space="preserve"> </w:t>
      </w:r>
      <w:r>
        <w:t xml:space="preserve">· Naming candidate documentation</w:t>
      </w:r>
      <w:r>
        <w:t xml:space="preserve"> </w:t>
      </w:r>
      <w:r>
        <w:t xml:space="preserve">edition 2 November 2026</w:t>
      </w:r>
    </w:p>
    <w:bookmarkStart w:id="10" w:name="contents"/>
    <w:p>
      <w:pPr>
        <w:pStyle w:val="Heading2"/>
      </w:pPr>
      <w:r>
        <w:t xml:space="preserve">Contents</w:t>
      </w:r>
    </w:p>
    <w:p>
      <w:pPr>
        <w:pStyle w:val="Compact"/>
        <w:numPr>
          <w:ilvl w:val="0"/>
          <w:numId w:val="1003"/>
        </w:numPr>
      </w:pPr>
      <w:hyperlink w:anchor="using-this-manual">
        <w:r>
          <w:rPr>
            <w:rStyle w:val="Hyperlink"/>
          </w:rPr>
          <w:t xml:space="preserve">Using this manual</w:t>
        </w:r>
      </w:hyperlink>
    </w:p>
    <w:p>
      <w:pPr>
        <w:pStyle w:val="Compact"/>
        <w:numPr>
          <w:ilvl w:val="0"/>
          <w:numId w:val="1003"/>
        </w:numPr>
      </w:pPr>
      <w:hyperlink w:anchor="beta-identity">
        <w:r>
          <w:rPr>
            <w:rStyle w:val="Hyperlink"/>
          </w:rPr>
          <w:t xml:space="preserve">Beta identity</w:t>
        </w:r>
      </w:hyperlink>
    </w:p>
    <w:p>
      <w:pPr>
        <w:pStyle w:val="Compact"/>
        <w:numPr>
          <w:ilvl w:val="0"/>
          <w:numId w:val="1003"/>
        </w:numPr>
      </w:pPr>
      <w:hyperlink w:anchor="first-run">
        <w:r>
          <w:rPr>
            <w:rStyle w:val="Hyperlink"/>
          </w:rPr>
          <w:t xml:space="preserve">First run</w:t>
        </w:r>
      </w:hyperlink>
    </w:p>
    <w:p>
      <w:pPr>
        <w:pStyle w:val="Compact"/>
        <w:numPr>
          <w:ilvl w:val="0"/>
          <w:numId w:val="1003"/>
        </w:numPr>
      </w:pPr>
      <w:hyperlink w:anchor="daily-workflow">
        <w:r>
          <w:rPr>
            <w:rStyle w:val="Hyperlink"/>
          </w:rPr>
          <w:t xml:space="preserve">Daily workflow</w:t>
        </w:r>
      </w:hyperlink>
    </w:p>
    <w:p>
      <w:pPr>
        <w:pStyle w:val="Compact"/>
        <w:numPr>
          <w:ilvl w:val="0"/>
          <w:numId w:val="1003"/>
        </w:numPr>
      </w:pPr>
      <w:hyperlink w:anchor="connected-workflows">
        <w:r>
          <w:rPr>
            <w:rStyle w:val="Hyperlink"/>
          </w:rPr>
          <w:t xml:space="preserve">Connected workflows</w:t>
        </w:r>
      </w:hyperlink>
    </w:p>
    <w:p>
      <w:pPr>
        <w:pStyle w:val="Compact"/>
        <w:numPr>
          <w:ilvl w:val="0"/>
          <w:numId w:val="1003"/>
        </w:numPr>
      </w:pPr>
      <w:hyperlink w:anchor="architecture">
        <w:r>
          <w:rPr>
            <w:rStyle w:val="Hyperlink"/>
          </w:rPr>
          <w:t xml:space="preserve">Architecture</w:t>
        </w:r>
      </w:hyperlink>
    </w:p>
    <w:p>
      <w:pPr>
        <w:pStyle w:val="Compact"/>
        <w:numPr>
          <w:ilvl w:val="0"/>
          <w:numId w:val="1003"/>
        </w:numPr>
      </w:pPr>
      <w:hyperlink w:anchor="shared-catalog-rules-and-scaffolding">
        <w:r>
          <w:rPr>
            <w:rStyle w:val="Hyperlink"/>
          </w:rPr>
          <w:t xml:space="preserve">Shared catalog rules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and scaffolding</w:t>
        </w:r>
      </w:hyperlink>
    </w:p>
    <w:p>
      <w:pPr>
        <w:pStyle w:val="Compact"/>
        <w:numPr>
          <w:ilvl w:val="0"/>
          <w:numId w:val="1003"/>
        </w:numPr>
      </w:pPr>
      <w:hyperlink w:anchor="technical-specifications">
        <w:r>
          <w:rPr>
            <w:rStyle w:val="Hyperlink"/>
          </w:rPr>
          <w:t xml:space="preserve">Technical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specifications</w:t>
        </w:r>
      </w:hyperlink>
    </w:p>
    <w:p>
      <w:pPr>
        <w:pStyle w:val="Compact"/>
        <w:numPr>
          <w:ilvl w:val="0"/>
          <w:numId w:val="1003"/>
        </w:numPr>
      </w:pP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</w:p>
    <w:p>
      <w:pPr>
        <w:pStyle w:val="Compact"/>
        <w:numPr>
          <w:ilvl w:val="0"/>
          <w:numId w:val="1003"/>
        </w:numPr>
      </w:pP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</w:p>
    <w:p>
      <w:pPr>
        <w:pStyle w:val="Compact"/>
        <w:numPr>
          <w:ilvl w:val="0"/>
          <w:numId w:val="1003"/>
        </w:numPr>
      </w:pPr>
      <w:hyperlink w:anchor="mcp-and-automation-boundary">
        <w:r>
          <w:rPr>
            <w:rStyle w:val="Hyperlink"/>
          </w:rPr>
          <w:t xml:space="preserve">MCP and automation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boundary</w:t>
        </w:r>
      </w:hyperlink>
    </w:p>
    <w:p>
      <w:pPr>
        <w:pStyle w:val="Compact"/>
        <w:numPr>
          <w:ilvl w:val="0"/>
          <w:numId w:val="1003"/>
        </w:numPr>
      </w:pPr>
      <w:hyperlink w:anchor="security-and-permissions">
        <w:r>
          <w:rPr>
            <w:rStyle w:val="Hyperlink"/>
          </w:rPr>
          <w:t xml:space="preserve">Security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permissions</w:t>
        </w:r>
      </w:hyperlink>
    </w:p>
    <w:p>
      <w:pPr>
        <w:pStyle w:val="Compact"/>
        <w:numPr>
          <w:ilvl w:val="0"/>
          <w:numId w:val="1003"/>
        </w:numPr>
      </w:pP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</w:p>
    <w:p>
      <w:pPr>
        <w:pStyle w:val="Compact"/>
        <w:numPr>
          <w:ilvl w:val="0"/>
          <w:numId w:val="1003"/>
        </w:numPr>
      </w:pPr>
      <w:hyperlink w:anchor="troubleshooting">
        <w:r>
          <w:rPr>
            <w:rStyle w:val="Hyperlink"/>
          </w:rPr>
          <w:t xml:space="preserve">Troubleshooting</w:t>
        </w:r>
      </w:hyperlink>
    </w:p>
    <w:p>
      <w:pPr>
        <w:pStyle w:val="Compact"/>
        <w:numPr>
          <w:ilvl w:val="0"/>
          <w:numId w:val="1003"/>
        </w:numPr>
      </w:pP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</w:p>
    <w:p>
      <w:pPr>
        <w:pStyle w:val="Compact"/>
        <w:numPr>
          <w:ilvl w:val="0"/>
          <w:numId w:val="1003"/>
        </w:numPr>
      </w:pP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</w:p>
    <w:p>
      <w:pPr>
        <w:pStyle w:val="Compact"/>
        <w:numPr>
          <w:ilvl w:val="0"/>
          <w:numId w:val="1003"/>
        </w:numPr>
      </w:pPr>
      <w:hyperlink w:anchor="glossary">
        <w:r>
          <w:rPr>
            <w:rStyle w:val="Hyperlink"/>
          </w:rPr>
          <w:t xml:space="preserve">Glossary</w:t>
        </w:r>
      </w:hyperlink>
    </w:p>
    <w:p>
      <w:pPr>
        <w:pStyle w:val="Compact"/>
        <w:numPr>
          <w:ilvl w:val="0"/>
          <w:numId w:val="1003"/>
        </w:numPr>
      </w:pPr>
      <w:hyperlink w:anchor="alphabetical-subject-index">
        <w:r>
          <w:rPr>
            <w:rStyle w:val="Hyperlink"/>
          </w:rPr>
          <w:t xml:space="preserve">Alphabetical subject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index</w:t>
        </w:r>
      </w:hyperlink>
    </w:p>
    <w:p>
      <w:pPr>
        <w:pStyle w:val="Compact"/>
        <w:numPr>
          <w:ilvl w:val="0"/>
          <w:numId w:val="1003"/>
        </w:numPr>
      </w:pPr>
      <w:hyperlink w:anchor="source-and-document-control">
        <w:r>
          <w:rPr>
            <w:rStyle w:val="Hyperlink"/>
          </w:rPr>
          <w:t xml:space="preserve">Source and document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control</w:t>
        </w:r>
      </w:hyperlink>
    </w:p>
    <w:bookmarkEnd w:id="10"/>
    <w:bookmarkStart w:id="11" w:name="using-this-manual"/>
    <w:p>
      <w:pPr>
        <w:pStyle w:val="Heading2"/>
      </w:pPr>
      <w:r>
        <w:t xml:space="preserve">Using this manual</w:t>
      </w:r>
    </w:p>
    <w:p>
      <w:pPr>
        <w:pStyle w:val="FirstParagraph"/>
      </w:pPr>
      <w:r>
        <w:t xml:space="preserve">Townlight Core helps IT administrators and platform maintainers. Core</w:t>
      </w:r>
      <w:r>
        <w:t xml:space="preserve"> </w:t>
      </w:r>
      <w:r>
        <w:t xml:space="preserve">provides the shared contracts, ingestion, identity helpers, task</w:t>
      </w:r>
      <w:r>
        <w:t xml:space="preserve"> </w:t>
      </w:r>
      <w:r>
        <w:t xml:space="preserve">infrastructure and recovery foundation used by Townlight. Staff</w:t>
      </w:r>
      <w:r>
        <w:t xml:space="preserve"> </w:t>
      </w:r>
      <w:r>
        <w:t xml:space="preserve">encounter these capabilities through Setup, Settings and System Health.</w:t>
      </w:r>
      <w:r>
        <w:t xml:space="preserve"> </w:t>
      </w:r>
      <w:r>
        <w:t xml:space="preserve">Business decisions stay with their owning product.</w:t>
      </w:r>
    </w:p>
    <w:p>
      <w:pPr>
        <w:pStyle w:val="BodyText"/>
      </w:pPr>
      <w:r>
        <w:t xml:space="preserve">Staff should begin with First run and Daily workflow. Administrators</w:t>
      </w:r>
      <w:r>
        <w:t xml:space="preserve"> </w:t>
      </w:r>
      <w:r>
        <w:t xml:space="preserve">should also read Architecture, Technical specifications, Configuration,</w:t>
      </w:r>
      <w:r>
        <w:t xml:space="preserve"> </w:t>
      </w:r>
      <w:r>
        <w:t xml:space="preserve">Security and Recovery. Developers should use the exact API/data</w:t>
      </w:r>
      <w:r>
        <w:t xml:space="preserve"> </w:t>
      </w:r>
      <w:r>
        <w:t xml:space="preserve">dictionary and examples. The table of contents and alphabetical subject</w:t>
      </w:r>
      <w:r>
        <w:t xml:space="preserve"> </w:t>
      </w:r>
      <w:r>
        <w:t xml:space="preserve">index link to the relevant sections in the HTML edition; the PDF</w:t>
      </w:r>
      <w:r>
        <w:t xml:space="preserve"> </w:t>
      </w:r>
      <w:r>
        <w:t xml:space="preserve">preserves headings and searchable text. An editable Word edition is</w:t>
      </w:r>
      <w:r>
        <w:t xml:space="preserve"> </w:t>
      </w:r>
      <w:r>
        <w:t xml:space="preserve">included with the same documentation companion.</w:t>
      </w:r>
    </w:p>
    <w:bookmarkEnd w:id="11"/>
    <w:bookmarkStart w:id="14" w:name="beta-identity"/>
    <w:p>
      <w:pPr>
        <w:pStyle w:val="Heading2"/>
      </w:pPr>
      <w:r>
        <w:t xml:space="preserve">Beta identity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Documentation</w:t>
            </w:r>
          </w:p>
        </w:tc>
        <w:tc>
          <w:tcPr/>
          <w:p>
            <w:pPr>
              <w:pStyle w:val="Compact"/>
            </w:pPr>
            <w:r>
              <w:t xml:space="preserve">Townlight Beta 1 naming, Access and Notice candidate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Intended installer version</w:t>
            </w:r>
          </w:p>
        </w:tc>
        <w:tc>
          <w:tcPr/>
          <w:p>
            <w:pPr>
              <w:pStyle w:val="Compact"/>
            </w:pPr>
            <w:r>
              <w:t xml:space="preserve">1.7.0.1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 component</w:t>
            </w:r>
          </w:p>
        </w:tc>
        <w:tc>
          <w:tcPr/>
          <w:p>
            <w:pPr>
              <w:pStyle w:val="Compact"/>
            </w:pPr>
            <w:r>
              <w:t xml:space="preserve">townlight-core 1.3.0.dev2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Principal import package</w:t>
            </w:r>
          </w:p>
        </w:tc>
        <w:tc>
          <w:tcPr/>
          <w:p>
            <w:pPr>
              <w:pStyle w:val="Compact"/>
            </w:pPr>
            <w:r>
              <w:t xml:space="preserve">townlight_core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Native desktop source version</w:t>
            </w:r>
          </w:p>
        </w:tc>
        <w:tc>
          <w:tcPr/>
          <w:p>
            <w:pPr>
              <w:pStyle w:val="Compact"/>
            </w:pPr>
            <w:r>
              <w:t xml:space="preserve">1.7.0-1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Candidate hashes</w:t>
            </w:r>
          </w:p>
        </w:tc>
        <w:tc>
          <w:tcPr/>
          <w:p>
            <w:pPr>
              <w:pStyle w:val="Compact"/>
            </w:pPr>
            <w:hyperlink r:id="rId12">
              <w:r>
                <w:rPr>
                  <w:rStyle w:val="Hyperlink"/>
                </w:rPr>
                <w:t xml:space="preserve">SHA-256 checksums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13">
              <w:r>
                <w:rPr>
                  <w:rStyle w:val="Hyperlink"/>
                </w:rPr>
                <w:t xml:space="preserve">Windows acceptance summary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Current owned software license</w:t>
            </w:r>
          </w:p>
        </w:tc>
        <w:tc>
          <w:tcPr/>
          <w:p>
            <w:pPr>
              <w:pStyle w:val="Compact"/>
            </w:pPr>
            <w:r>
              <w:t xml:space="preserve">AGPL-3.0-only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Acceptance composition</w:t>
            </w:r>
          </w:p>
        </w:tc>
        <w:tc>
          <w:tcPr/>
          <w:p>
            <w:pPr>
              <w:pStyle w:val="Compact"/>
            </w:pPr>
            <w:r>
              <w:t xml:space="preserve">Fresh Windows x64 profile; inspections-preview; Station configured</w:t>
            </w:r>
            <w:r>
              <w:t xml:space="preserve"> </w:t>
            </w:r>
            <w:r>
              <w:t xml:space="preserve">separately</w:t>
            </w:r>
          </w:p>
        </w:tc>
      </w:tr>
    </w:tbl>
    <w:p>
      <w:pPr>
        <w:pStyle w:val="BodyText"/>
      </w:pPr>
      <w:r>
        <w:t xml:space="preserve">Use an empty database and fresh Windows profile. The installer refuses legacy profile initialization. The approved profile path is</w:t>
      </w:r>
      <w:r>
        <w:t xml:space="preserve"> </w:t>
      </w:r>
      <w:r>
        <w:rPr>
          <w:rStyle w:val="VerbatimChar"/>
        </w:rPr>
        <w:t xml:space="preserve">%LOCALAPPDATA%\CivicSuite</w:t>
      </w:r>
      <w:r>
        <w:t xml:space="preserve">. Keep existing profiles and backups.</w:t>
      </w:r>
    </w:p>
    <w:bookmarkEnd w:id="14"/>
    <w:bookmarkStart w:id="15" w:name="first-run"/>
    <w:p>
      <w:pPr>
        <w:pStyle w:val="Heading2"/>
      </w:pPr>
      <w:r>
        <w:t xml:space="preserve">First run</w:t>
      </w:r>
    </w:p>
    <w:p>
      <w:pPr>
        <w:pStyle w:val="Compact"/>
        <w:numPr>
          <w:ilvl w:val="0"/>
          <w:numId w:val="1004"/>
        </w:numPr>
      </w:pPr>
      <w:r>
        <w:t xml:space="preserve">Download the signed MSI, matching source companion and checksums from the</w:t>
      </w:r>
      <w:r>
        <w:t xml:space="preserve"> </w:t>
      </w:r>
      <w:hyperlink r:id="rId9">
        <w:r>
          <w:rPr>
            <w:rStyle w:val="Hyperlink"/>
          </w:rPr>
          <w:t xml:space="preserve">public Windows release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Verify the MSI hash and Authenticode publisher before installing on a fresh Windows profile. See the</w:t>
      </w:r>
      <w:r>
        <w:t xml:space="preserve"> </w:t>
      </w:r>
      <w:hyperlink r:id="rId13">
        <w:r>
          <w:rPr>
            <w:rStyle w:val="Hyperlink"/>
          </w:rPr>
          <w:t xml:space="preserve">Windows acceptance summary</w:t>
        </w:r>
      </w:hyperlink>
      <w:r>
        <w:t xml:space="preserve"> </w:t>
      </w:r>
      <w:r>
        <w:t xml:space="preserve">for the tested setup.</w:t>
      </w:r>
    </w:p>
    <w:p>
      <w:pPr>
        <w:pStyle w:val="Compact"/>
        <w:numPr>
          <w:ilvl w:val="0"/>
          <w:numId w:val="1004"/>
        </w:numPr>
      </w:pPr>
      <w:r>
        <w:t xml:space="preserve">Launch Townlight under the intended named Windows account. Choose</w:t>
      </w:r>
      <w:r>
        <w:t xml:space="preserve"> </w:t>
      </w:r>
      <w:r>
        <w:t xml:space="preserve">the storage folders. Select</w:t>
      </w:r>
      <w:r>
        <w:t xml:space="preserve"> </w:t>
      </w:r>
      <w:r>
        <w:rPr>
          <w:b/>
          <w:bCs/>
        </w:rPr>
        <w:t xml:space="preserve">Townlight Inspections</w:t>
      </w:r>
      <w:r>
        <w:rPr>
          <w:b/>
          <w:bCs/>
        </w:rPr>
        <w:t xml:space="preserve"> </w:t>
      </w:r>
      <w:r>
        <w:rPr>
          <w:b/>
          <w:bCs/>
        </w:rPr>
        <w:t xml:space="preserve">candidate</w:t>
      </w:r>
      <w:r>
        <w:t xml:space="preserve"> </w:t>
      </w:r>
      <w:r>
        <w:t xml:space="preserve">(</w:t>
      </w:r>
      <w:r>
        <w:rPr>
          <w:rStyle w:val="VerbatimChar"/>
        </w:rPr>
        <w:t xml:space="preserve">inspections-preview</w:t>
      </w:r>
      <w:r>
        <w:t xml:space="preserve">) for the bounded</w:t>
      </w:r>
      <w:r>
        <w:t xml:space="preserve"> </w:t>
      </w:r>
      <w:r>
        <w:t xml:space="preserve">desktop composition, including Access and Notice. A narrower default</w:t>
      </w:r>
      <w:r>
        <w:t xml:space="preserve"> </w:t>
      </w:r>
      <w:r>
        <w:t xml:space="preserve">selection will not expose all workspaces.</w:t>
      </w:r>
    </w:p>
    <w:p>
      <w:pPr>
        <w:pStyle w:val="Compact"/>
        <w:numPr>
          <w:ilvl w:val="0"/>
          <w:numId w:val="1004"/>
        </w:numPr>
      </w:pPr>
      <w:r>
        <w:t xml:space="preserve">Enter the city profile, time zone and contacts. Create the first</w:t>
      </w:r>
      <w:r>
        <w:t xml:space="preserve"> </w:t>
      </w:r>
      <w:r>
        <w:t xml:space="preserve">named local administrator, sign in and choose protected backup storage.</w:t>
      </w:r>
      <w:r>
        <w:t xml:space="preserve"> </w:t>
      </w:r>
      <w:r>
        <w:rPr>
          <w:b/>
          <w:bCs/>
        </w:rPr>
        <w:t xml:space="preserve">Continue without local AI</w:t>
      </w:r>
      <w:r>
        <w:t xml:space="preserve"> </w:t>
      </w:r>
      <w:r>
        <w:t xml:space="preserve">is valid for the</w:t>
      </w:r>
      <w:r>
        <w:t xml:space="preserve"> </w:t>
      </w:r>
      <w:r>
        <w:t xml:space="preserve">deterministic workflows.</w:t>
      </w:r>
    </w:p>
    <w:p>
      <w:pPr>
        <w:pStyle w:val="Compact"/>
        <w:numPr>
          <w:ilvl w:val="0"/>
          <w:numId w:val="1004"/>
        </w:numPr>
      </w:pPr>
      <w:r>
        <w:t xml:space="preserve">Run Health Check and wait for readiness. Open Townlight. In System</w:t>
      </w:r>
      <w:r>
        <w:t xml:space="preserve"> </w:t>
      </w:r>
      <w:r>
        <w:t xml:space="preserve">Health select</w:t>
      </w:r>
      <w:r>
        <w:t xml:space="preserve"> </w:t>
      </w:r>
      <w:r>
        <w:rPr>
          <w:b/>
          <w:bCs/>
        </w:rPr>
        <w:t xml:space="preserve">Finish Records Migration</w:t>
      </w:r>
      <w:r>
        <w:t xml:space="preserve"> </w:t>
      </w:r>
      <w:r>
        <w:t xml:space="preserve">to activate the</w:t>
      </w:r>
      <w:r>
        <w:t xml:space="preserve"> </w:t>
      </w:r>
      <w:r>
        <w:t xml:space="preserve">canonical Python/PostgreSQL runtime. Do not fabricate migration receipts</w:t>
      </w:r>
      <w:r>
        <w:t xml:space="preserve"> </w:t>
      </w:r>
      <w:r>
        <w:t xml:space="preserve">or seed accounts.</w:t>
      </w:r>
    </w:p>
    <w:p>
      <w:pPr>
        <w:pStyle w:val="Compact"/>
        <w:numPr>
          <w:ilvl w:val="0"/>
          <w:numId w:val="1004"/>
        </w:numPr>
      </w:pPr>
      <w:r>
        <w:t xml:space="preserve">Create named staff through Settings. Import authorized sources using</w:t>
      </w:r>
      <w:r>
        <w:t xml:space="preserve"> </w:t>
      </w:r>
      <w:r>
        <w:t xml:space="preserve">each product’s source library. All examples in this package are</w:t>
      </w:r>
      <w:r>
        <w:t xml:space="preserve"> </w:t>
      </w:r>
      <w:r>
        <w:t xml:space="preserve">synthetic; they are not municipal authority.</w:t>
      </w:r>
    </w:p>
    <w:p>
      <w:pPr>
        <w:pStyle w:val="Compact"/>
        <w:numPr>
          <w:ilvl w:val="0"/>
          <w:numId w:val="1004"/>
        </w:numPr>
      </w:pPr>
      <w:r>
        <w:t xml:space="preserve">Provision Station separately if it is part of the beta exercise.</w:t>
      </w:r>
      <w:r>
        <w:t xml:space="preserve"> </w:t>
      </w:r>
      <w:r>
        <w:t xml:space="preserve">Selecting the desktop composition does not start or configure Station.</w:t>
      </w:r>
      <w:r>
        <w:t xml:space="preserve"> </w:t>
      </w:r>
      <w:r>
        <w:t xml:space="preserve">Configure vision explicitly only if automatic photo drafting is</w:t>
      </w:r>
      <w:r>
        <w:t xml:space="preserve"> </w:t>
      </w:r>
      <w:r>
        <w:t xml:space="preserve">selected.</w:t>
      </w:r>
    </w:p>
    <w:bookmarkEnd w:id="15"/>
    <w:bookmarkStart w:id="31" w:name="daily-workflow"/>
    <w:p>
      <w:pPr>
        <w:pStyle w:val="Heading2"/>
      </w:pPr>
      <w:r>
        <w:t xml:space="preserve">Daily workflow</w:t>
      </w:r>
    </w:p>
    <w:p>
      <w:pPr>
        <w:pStyle w:val="FirstParagraph"/>
      </w:pPr>
      <w:bookmarkStart w:id="16" w:name="workflow-1"/>
      <w:bookmarkEnd w:id="16"/>
    </w:p>
    <w:bookmarkStart w:id="18" w:name="complete-setup"/>
    <w:p>
      <w:pPr>
        <w:pStyle w:val="Heading3"/>
      </w:pPr>
      <w:r>
        <w:t xml:space="preserve">1. Complete setup</w:t>
      </w:r>
    </w:p>
    <w:p>
      <w:pPr>
        <w:pStyle w:val="FirstParagraph"/>
      </w:pPr>
      <w:r>
        <w:t xml:space="preserve">Choose folders and the full product composition. Create the city</w:t>
      </w:r>
      <w:r>
        <w:t xml:space="preserve"> </w:t>
      </w:r>
      <w:r>
        <w:t xml:space="preserve">profile and the first named administrator. Choose a protected backup</w:t>
      </w:r>
      <w:r>
        <w:t xml:space="preserve"> </w:t>
      </w:r>
      <w:r>
        <w:t xml:space="preserve">location. Defer optional local AI if it is not needed.</w:t>
      </w:r>
    </w:p>
    <w:p>
      <w:pPr>
        <w:pStyle w:val="BodyText"/>
      </w:pPr>
      <w:bookmarkStart w:id="17" w:name="workflow-2"/>
      <w:bookmarkEnd w:id="17"/>
    </w:p>
    <w:bookmarkEnd w:id="18"/>
    <w:bookmarkStart w:id="20" w:name="activate-the-runtime"/>
    <w:p>
      <w:pPr>
        <w:pStyle w:val="Heading3"/>
      </w:pPr>
      <w:r>
        <w:t xml:space="preserve">2. Activate the runtime</w:t>
      </w:r>
    </w:p>
    <w:p>
      <w:pPr>
        <w:pStyle w:val="FirstParagraph"/>
      </w:pPr>
      <w:r>
        <w:t xml:space="preserve">Run the first-run health check, wait for readiness and open</w:t>
      </w:r>
      <w:r>
        <w:t xml:space="preserve"> </w:t>
      </w:r>
      <w:r>
        <w:t xml:space="preserve">Townlight. In System Health select Finish Records Migration to activate</w:t>
      </w:r>
      <w:r>
        <w:t xml:space="preserve"> </w:t>
      </w:r>
      <w:r>
        <w:t xml:space="preserve">the canonical Python and PostgreSQL services. A running process alone is</w:t>
      </w:r>
      <w:r>
        <w:t xml:space="preserve"> </w:t>
      </w:r>
      <w:r>
        <w:t xml:space="preserve">not a ready database.</w:t>
      </w:r>
    </w:p>
    <w:p>
      <w:pPr>
        <w:pStyle w:val="BodyText"/>
      </w:pPr>
      <w:bookmarkStart w:id="19" w:name="workflow-3"/>
      <w:bookmarkEnd w:id="19"/>
    </w:p>
    <w:bookmarkEnd w:id="20"/>
    <w:bookmarkStart w:id="22" w:name="create-staff-access"/>
    <w:p>
      <w:pPr>
        <w:pStyle w:val="Heading3"/>
      </w:pPr>
      <w:r>
        <w:t xml:space="preserve">3. Create staff access</w:t>
      </w:r>
    </w:p>
    <w:p>
      <w:pPr>
        <w:pStyle w:val="FirstParagraph"/>
      </w:pPr>
      <w:r>
        <w:t xml:space="preserve">Use Settings to create named staff. Sign out and confirm that staff</w:t>
      </w:r>
      <w:r>
        <w:t xml:space="preserve"> </w:t>
      </w:r>
      <w:r>
        <w:t xml:space="preserve">can sign in with their own account. Keep administrator privileges with</w:t>
      </w:r>
      <w:r>
        <w:t xml:space="preserve"> </w:t>
      </w:r>
      <w:r>
        <w:t xml:space="preserve">people responsible for setup; ordinary staff cannot administer</w:t>
      </w:r>
      <w:r>
        <w:t xml:space="preserve"> </w:t>
      </w:r>
      <w:r>
        <w:t xml:space="preserve">users.</w:t>
      </w:r>
    </w:p>
    <w:p>
      <w:pPr>
        <w:pStyle w:val="BodyText"/>
      </w:pPr>
      <w:bookmarkStart w:id="21" w:name="workflow-4"/>
      <w:bookmarkEnd w:id="21"/>
    </w:p>
    <w:bookmarkEnd w:id="22"/>
    <w:bookmarkStart w:id="24" w:name="import-through-the-right-product"/>
    <w:p>
      <w:pPr>
        <w:pStyle w:val="Heading3"/>
      </w:pPr>
      <w:r>
        <w:t xml:space="preserve">4. Import through the right</w:t>
      </w:r>
      <w:r>
        <w:t xml:space="preserve"> </w:t>
      </w:r>
      <w:r>
        <w:t xml:space="preserve">product</w:t>
      </w:r>
    </w:p>
    <w:p>
      <w:pPr>
        <w:pStyle w:val="FirstParagraph"/>
      </w:pPr>
      <w:r>
        <w:t xml:space="preserve">Use the source library of Code, Zoning, Planning or Permitting.</w:t>
      </w:r>
      <w:r>
        <w:t xml:space="preserve"> </w:t>
      </w:r>
      <w:r>
        <w:t xml:space="preserve">Inspect provenance and permissions there. Core ingestion helpers do not</w:t>
      </w:r>
      <w:r>
        <w:t xml:space="preserve"> </w:t>
      </w:r>
      <w:r>
        <w:t xml:space="preserve">bypass the owning product’s source review.</w:t>
      </w:r>
    </w:p>
    <w:p>
      <w:pPr>
        <w:pStyle w:val="BodyText"/>
      </w:pPr>
      <w:bookmarkStart w:id="23" w:name="workflow-5"/>
      <w:bookmarkEnd w:id="23"/>
    </w:p>
    <w:bookmarkEnd w:id="24"/>
    <w:bookmarkStart w:id="26" w:name="make-a-coherent-backup"/>
    <w:p>
      <w:pPr>
        <w:pStyle w:val="Heading3"/>
      </w:pPr>
      <w:r>
        <w:t xml:space="preserve">5. Make a coherent backup</w:t>
      </w:r>
    </w:p>
    <w:p>
      <w:pPr>
        <w:pStyle w:val="FirstParagraph"/>
      </w:pPr>
      <w:r>
        <w:t xml:space="preserve">Save open work. Use Backup Now; it stops writers to preserve a</w:t>
      </w:r>
      <w:r>
        <w:t xml:space="preserve"> </w:t>
      </w:r>
      <w:r>
        <w:t xml:space="preserve">consistent snapshot. Retain the backup receipt, then use Start to resume</w:t>
      </w:r>
      <w:r>
        <w:t xml:space="preserve"> </w:t>
      </w:r>
      <w:r>
        <w:t xml:space="preserve">services.</w:t>
      </w:r>
    </w:p>
    <w:p>
      <w:pPr>
        <w:pStyle w:val="BodyText"/>
      </w:pPr>
      <w:bookmarkStart w:id="25" w:name="workflow-6"/>
      <w:bookmarkEnd w:id="25"/>
    </w:p>
    <w:bookmarkEnd w:id="26"/>
    <w:bookmarkStart w:id="28" w:name="restore-and-verify"/>
    <w:p>
      <w:pPr>
        <w:pStyle w:val="Heading3"/>
      </w:pPr>
      <w:r>
        <w:t xml:space="preserve">6. Restore and verify</w:t>
      </w:r>
    </w:p>
    <w:p>
      <w:pPr>
        <w:pStyle w:val="FirstParagraph"/>
      </w:pPr>
      <w:r>
        <w:t xml:space="preserve">Use Restore Latest Backup after preserving current recovery material.</w:t>
      </w:r>
      <w:r>
        <w:t xml:space="preserve"> </w:t>
      </w:r>
      <w:r>
        <w:t xml:space="preserve">A result of Restore needs service start is an intermediate state: use</w:t>
      </w:r>
      <w:r>
        <w:t xml:space="preserve"> </w:t>
      </w:r>
      <w:r>
        <w:t xml:space="preserve">Start, then Check. Reopen a known saved record to confirm recovery.</w:t>
      </w:r>
    </w:p>
    <w:p>
      <w:pPr>
        <w:pStyle w:val="BodyText"/>
      </w:pPr>
      <w:bookmarkStart w:id="27" w:name="workflow-7"/>
      <w:bookmarkEnd w:id="27"/>
    </w:p>
    <w:bookmarkEnd w:id="28"/>
    <w:bookmarkStart w:id="29" w:name="collect-diagnostics"/>
    <w:p>
      <w:pPr>
        <w:pStyle w:val="Heading3"/>
      </w:pPr>
      <w:r>
        <w:t xml:space="preserve">7. Collect diagnostics</w:t>
      </w:r>
    </w:p>
    <w:p>
      <w:pPr>
        <w:pStyle w:val="FirstParagraph"/>
      </w:pPr>
      <w:r>
        <w:t xml:space="preserve">Record the time, selected composition, version, operation and exact</w:t>
      </w:r>
      <w:r>
        <w:t xml:space="preserve"> </w:t>
      </w:r>
      <w:r>
        <w:t xml:space="preserve">error. Inspect System Health and create a redacted support bundle. Do</w:t>
      </w:r>
      <w:r>
        <w:t xml:space="preserve"> </w:t>
      </w:r>
      <w:r>
        <w:t xml:space="preserve">not delete a profile as the first repair step.</w:t>
      </w:r>
    </w:p>
    <w:bookmarkEnd w:id="29"/>
    <w:bookmarkStart w:id="30" w:name="working-safely"/>
    <w:p>
      <w:pPr>
        <w:pStyle w:val="Heading3"/>
      </w:pPr>
      <w:r>
        <w:t xml:space="preserve">Working safely</w:t>
      </w:r>
    </w:p>
    <w:p>
      <w:pPr>
        <w:pStyle w:val="FirstParagraph"/>
      </w:pPr>
      <w:r>
        <w:t xml:space="preserve">Use your own named account and save before leaving a screen. A saved</w:t>
      </w:r>
      <w:r>
        <w:t xml:space="preserve"> </w:t>
      </w:r>
      <w:r>
        <w:t xml:space="preserve">draft is durable; unsaved form text may not be. If a write has an</w:t>
      </w:r>
      <w:r>
        <w:t xml:space="preserve"> </w:t>
      </w:r>
      <w:r>
        <w:t xml:space="preserve">unknown result, reopen its record before repeating it.</w:t>
      </w:r>
    </w:p>
    <w:p>
      <w:pPr>
        <w:pStyle w:val="BodyText"/>
      </w:pPr>
      <w:r>
        <w:t xml:space="preserve">Read source jurisdiction, dates, citation, version and visibility. A</w:t>
      </w:r>
      <w:r>
        <w:t xml:space="preserve"> </w:t>
      </w:r>
      <w:r>
        <w:t xml:space="preserve">copied source hash identifies exact bytes, not their legal</w:t>
      </w:r>
      <w:r>
        <w:t xml:space="preserve"> </w:t>
      </w:r>
      <w:r>
        <w:t xml:space="preserve">applicability. If a source changes or permission is removed, resolve the</w:t>
      </w:r>
      <w:r>
        <w:t xml:space="preserve"> </w:t>
      </w:r>
      <w:r>
        <w:t xml:space="preserve">source problem rather than substituting stale cached content.</w:t>
      </w:r>
    </w:p>
    <w:p>
      <w:pPr>
        <w:pStyle w:val="BodyText"/>
      </w:pPr>
      <w:r>
        <w:t xml:space="preserve">Keep originals and derivatives separate. Review the intended audience</w:t>
      </w:r>
      <w:r>
        <w:t xml:space="preserve"> </w:t>
      </w:r>
      <w:r>
        <w:t xml:space="preserve">before export. A public summary excludes private fields only through the</w:t>
      </w:r>
      <w:r>
        <w:t xml:space="preserve"> </w:t>
      </w:r>
      <w:r>
        <w:t xml:space="preserve">applicable copy contract and your review. A renamed private packet is</w:t>
      </w:r>
      <w:r>
        <w:t xml:space="preserve"> </w:t>
      </w:r>
      <w:r>
        <w:t xml:space="preserve">still private content.</w:t>
      </w:r>
    </w:p>
    <w:p>
      <w:pPr>
        <w:pStyle w:val="BodyText"/>
      </w:pPr>
      <w:r>
        <w:t xml:space="preserve">Drafting, review, approval, attachment, export, fulfillment and</w:t>
      </w:r>
      <w:r>
        <w:t xml:space="preserve"> </w:t>
      </w:r>
      <w:r>
        <w:t xml:space="preserve">publication are separate operations. A Townlight workpaper does not</w:t>
      </w:r>
      <w:r>
        <w:t xml:space="preserve"> </w:t>
      </w:r>
      <w:r>
        <w:t xml:space="preserve">itself adopt law, issue a permit, impose a fine or release a records</w:t>
      </w:r>
      <w:r>
        <w:t xml:space="preserve"> </w:t>
      </w:r>
      <w:r>
        <w:t xml:space="preserve">response. The responsible staff member records the applicable</w:t>
      </w:r>
      <w:r>
        <w:t xml:space="preserve"> </w:t>
      </w:r>
      <w:r>
        <w:t xml:space="preserve">decision.</w:t>
      </w:r>
    </w:p>
    <w:bookmarkEnd w:id="30"/>
    <w:bookmarkEnd w:id="31"/>
    <w:bookmarkStart w:id="33" w:name="connected-workflows"/>
    <w:p>
      <w:pPr>
        <w:pStyle w:val="Heading2"/>
      </w:pPr>
      <w:r>
        <w:t xml:space="preserve">Connected workflows</w:t>
      </w:r>
    </w:p>
    <w:p>
      <w:pPr>
        <w:pStyle w:val="FirstParagraph"/>
      </w:pPr>
      <w:r>
        <w:t xml:space="preserve">All products use selected Core contracts. Core does not create</w:t>
      </w:r>
      <w:r>
        <w:t xml:space="preserve"> </w:t>
      </w:r>
      <w:r>
        <w:t xml:space="preserve">unrestricted access between products. Access and Notice provide the</w:t>
      </w:r>
      <w:r>
        <w:t xml:space="preserve"> </w:t>
      </w:r>
      <w:r>
        <w:t xml:space="preserve">bounded staff workflows documented in their current manuals and are covered by the Windows acceptance summary.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Direction</w:t>
            </w:r>
          </w:p>
        </w:tc>
        <w:tc>
          <w:tcPr/>
          <w:p>
            <w:pPr>
              <w:pStyle w:val="Compact"/>
            </w:pPr>
            <w:r>
              <w:t xml:space="preserve">Material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Administrator setup choices, named staff accounts, source material</w:t>
            </w:r>
            <w:r>
              <w:t xml:space="preserve"> </w:t>
            </w:r>
            <w:r>
              <w:t xml:space="preserve">submitted through the owning product, and protected backup storage.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Output</w:t>
            </w:r>
          </w:p>
        </w:tc>
        <w:tc>
          <w:tcPr/>
          <w:p>
            <w:pPr>
              <w:pStyle w:val="Compact"/>
            </w:pPr>
            <w:r>
              <w:t xml:space="preserve">Ready local services, permission-aware shared contracts, task</w:t>
            </w:r>
            <w:r>
              <w:t xml:space="preserve"> </w:t>
            </w:r>
            <w:r>
              <w:t xml:space="preserve">results, diagnostics and coherent backup or restore receipts.</w:t>
            </w:r>
          </w:p>
        </w:tc>
      </w:tr>
    </w:tbl>
    <w:bookmarkStart w:id="32" w:name="product-boundary"/>
    <w:p>
      <w:pPr>
        <w:pStyle w:val="Heading3"/>
      </w:pPr>
      <w:r>
        <w:t xml:space="preserve">Product boundary</w:t>
      </w:r>
    </w:p>
    <w:p>
      <w:pPr>
        <w:pStyle w:val="FirstParagraph"/>
      </w:pPr>
      <w:r>
        <w:t xml:space="preserve">Shared catalog, exemption and module-generator code exists in this</w:t>
      </w:r>
      <w:r>
        <w:t xml:space="preserve"> </w:t>
      </w:r>
      <w:r>
        <w:t xml:space="preserve">private candidate. It is not a centrally hosted federation service. A</w:t>
      </w:r>
      <w:r>
        <w:t xml:space="preserve"> </w:t>
      </w:r>
      <w:r>
        <w:t xml:space="preserve">business product still owns its decisions, identity mapping and</w:t>
      </w:r>
      <w:r>
        <w:t xml:space="preserve"> </w:t>
      </w:r>
      <w:r>
        <w:t xml:space="preserve">permission checks. Historical placeholder ADRs are retained as history,</w:t>
      </w:r>
      <w:r>
        <w:t xml:space="preserve"> </w:t>
      </w:r>
      <w:r>
        <w:t xml:space="preserve">rather than descriptions of the current implementation.</w:t>
      </w:r>
    </w:p>
    <w:bookmarkEnd w:id="32"/>
    <w:bookmarkEnd w:id="33"/>
    <w:bookmarkStart w:id="37" w:name="architecture"/>
    <w:p>
      <w:pPr>
        <w:pStyle w:val="Heading2"/>
      </w:pPr>
      <w:r>
        <w:t xml:space="preserve">Architecture</w:t>
      </w:r>
    </w:p>
    <w:p>
      <w:pPr>
        <w:pStyle w:val="CaptionedFigure"/>
      </w:pPr>
      <w:r>
        <w:drawing>
          <wp:inline>
            <wp:extent cx="5334000" cy="1889125"/>
            <wp:effectExtent b="0" l="0" r="0" t="0"/>
            <wp:docPr descr="Townlight Core architecture and evidence flow" title="" id="35" name="Picture"/>
            <a:graphic>
              <a:graphicData uri="http://schemas.openxmlformats.org/drawingml/2006/picture">
                <pic:pic>
                  <pic:nvPicPr>
                    <pic:cNvPr descr="C:/Users/scott/Documents/Codex/2026-11-02/rea/work/combined-candidate/repos/townlight.github.io/assets/word/core-architectur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9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Townlight Core architecture and evidence</w:t>
      </w:r>
      <w:r>
        <w:t xml:space="preserve"> </w:t>
      </w:r>
      <w:r>
        <w:t xml:space="preserve">flow</w:t>
      </w:r>
    </w:p>
    <w:p>
      <w:pPr>
        <w:pStyle w:val="BodyText"/>
      </w:pPr>
      <w:r>
        <w:t xml:space="preserve">The drawing shows the principal staff/evidence path. Native commands</w:t>
      </w:r>
      <w:r>
        <w:t xml:space="preserve"> </w:t>
      </w:r>
      <w:r>
        <w:t xml:space="preserve">carry trusted identity to Python business services; PostgreSQL and</w:t>
      </w:r>
      <w:r>
        <w:t xml:space="preserve"> </w:t>
      </w:r>
      <w:r>
        <w:t xml:space="preserve">retained original files hold durable state. A downstream copy does not</w:t>
      </w:r>
      <w:r>
        <w:t xml:space="preserve"> </w:t>
      </w:r>
      <w:r>
        <w:t xml:space="preserve">silently transfer decision authority. Station has its own configured</w:t>
      </w:r>
      <w:r>
        <w:t xml:space="preserve"> </w:t>
      </w:r>
      <w:r>
        <w:t xml:space="preserve">authority/media boundary, database and mutable files. The</w:t>
      </w:r>
      <w:r>
        <w:t xml:space="preserve"> </w:t>
      </w:r>
      <w:r>
        <w:t xml:space="preserve">connected-workflow text supplies the drawing’s reading order and</w:t>
      </w:r>
      <w:r>
        <w:t xml:space="preserve"> </w:t>
      </w:r>
      <w:r>
        <w:t xml:space="preserve">accessibility alternative.</w:t>
      </w:r>
    </w:p>
    <w:bookmarkEnd w:id="37"/>
    <w:bookmarkStart w:id="44" w:name="shared-catalog-rules-and-scaffolding"/>
    <w:p>
      <w:pPr>
        <w:pStyle w:val="Heading2"/>
      </w:pPr>
      <w:r>
        <w:t xml:space="preserve">Shared catalog rules and</w:t>
      </w:r>
      <w:r>
        <w:t xml:space="preserve"> </w:t>
      </w:r>
      <w:r>
        <w:t xml:space="preserve">scaffolding</w:t>
      </w:r>
    </w:p>
    <w:p>
      <w:pPr>
        <w:pStyle w:val="FirstParagraph"/>
      </w:pPr>
      <w:r>
        <w:t xml:space="preserve">These are existing Core developer and administrator contracts. They</w:t>
      </w:r>
      <w:r>
        <w:t xml:space="preserve"> </w:t>
      </w:r>
      <w:r>
        <w:t xml:space="preserve">do not add a new Core administration screen. Staff use the owning</w:t>
      </w:r>
      <w:r>
        <w:t xml:space="preserve"> </w:t>
      </w:r>
      <w:r>
        <w:t xml:space="preserve">product’s normal controls; developers call the library only inside an</w:t>
      </w:r>
      <w:r>
        <w:t xml:space="preserve"> </w:t>
      </w:r>
      <w:r>
        <w:t xml:space="preserve">authenticated application or an isolated synthetic test. The caller owns</w:t>
      </w:r>
      <w:r>
        <w:t xml:space="preserve"> </w:t>
      </w:r>
      <w:r>
        <w:t xml:space="preserve">authorization and database commit or rollback.</w:t>
      </w:r>
    </w:p>
    <w:bookmarkStart w:id="39" w:name="catalog-import-and-readback"/>
    <w:p>
      <w:pPr>
        <w:pStyle w:val="Heading3"/>
      </w:pPr>
      <w:r>
        <w:t xml:space="preserve">Catalog import and readback</w:t>
      </w:r>
    </w:p>
    <w:p>
      <w:pPr>
        <w:pStyle w:val="Compact"/>
        <w:numPr>
          <w:ilvl w:val="0"/>
          <w:numId w:val="1005"/>
        </w:numPr>
      </w:pPr>
      <w:r>
        <w:t xml:space="preserve">Review the catalog’s</w:t>
      </w:r>
      <w:r>
        <w:t xml:space="preserve"> </w:t>
      </w:r>
      <w:r>
        <w:rPr>
          <w:rStyle w:val="VerbatimChar"/>
        </w:rPr>
        <w:t xml:space="preserve">catalog_version</w:t>
      </w:r>
      <w:r>
        <w:t xml:space="preserve">, domain names and</w:t>
      </w:r>
      <w:r>
        <w:t xml:space="preserve"> </w:t>
      </w:r>
      <w:r>
        <w:t xml:space="preserve">systems. Each system supplies vendor name, protocol, data shape, record</w:t>
      </w:r>
      <w:r>
        <w:t xml:space="preserve"> </w:t>
      </w:r>
      <w:r>
        <w:t xml:space="preserve">types, redaction tier 1–3 and optional discovery hints. Hints are</w:t>
      </w:r>
      <w:r>
        <w:t xml:space="preserve"> </w:t>
      </w:r>
      <w:r>
        <w:t xml:space="preserve">limited to</w:t>
      </w:r>
      <w:r>
        <w:t xml:space="preserve"> </w:t>
      </w:r>
      <w:r>
        <w:rPr>
          <w:rStyle w:val="VerbatimChar"/>
        </w:rPr>
        <w:t xml:space="preserve">ports</w:t>
      </w:r>
      <w:r>
        <w:t xml:space="preserve">,</w:t>
      </w:r>
      <w:r>
        <w:t xml:space="preserve"> </w:t>
      </w:r>
      <w:r>
        <w:rPr>
          <w:rStyle w:val="VerbatimChar"/>
        </w:rPr>
        <w:t xml:space="preserve">db_patterns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service_accounts</w:t>
      </w:r>
      <w:r>
        <w:t xml:space="preserve">; do not put credentials in them.</w:t>
      </w:r>
    </w:p>
    <w:p>
      <w:pPr>
        <w:pStyle w:val="Compact"/>
        <w:numPr>
          <w:ilvl w:val="0"/>
          <w:numId w:val="1005"/>
        </w:numPr>
      </w:pPr>
      <w:r>
        <w:t xml:space="preserve">In an authorized application transaction, call</w:t>
      </w:r>
      <w:r>
        <w:t xml:space="preserve"> </w:t>
      </w:r>
      <w:r>
        <w:rPr>
          <w:rStyle w:val="VerbatimChar"/>
        </w:rPr>
        <w:t xml:space="preserve">townlight_core.catalog.import_catalog(session, bundle, actor_id=actual_actor_id)</w:t>
      </w:r>
      <w:r>
        <w:t xml:space="preserve">.</w:t>
      </w:r>
      <w:r>
        <w:t xml:space="preserve"> </w:t>
      </w:r>
      <w:r>
        <w:t xml:space="preserve">The actor is the authenticated application’s identity. A changed or</w:t>
      </w:r>
      <w:r>
        <w:t xml:space="preserve"> </w:t>
      </w:r>
      <w:r>
        <w:t xml:space="preserve">incomplete existing version is refused rather than overwritten. Use a</w:t>
      </w:r>
      <w:r>
        <w:t xml:space="preserve"> </w:t>
      </w:r>
      <w:r>
        <w:t xml:space="preserve">newly reviewed version for changed catalog contents.</w:t>
      </w:r>
    </w:p>
    <w:p>
      <w:pPr>
        <w:pStyle w:val="Compact"/>
        <w:numPr>
          <w:ilvl w:val="0"/>
          <w:numId w:val="1005"/>
        </w:numPr>
      </w:pPr>
      <w:r>
        <w:t xml:space="preserve">Read</w:t>
      </w:r>
      <w:r>
        <w:t xml:space="preserve"> </w:t>
      </w:r>
      <w:r>
        <w:rPr>
          <w:rStyle w:val="VerbatimChar"/>
        </w:rPr>
        <w:t xml:space="preserve">domains(session)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system_catalog(session, domain)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connectors_for(session, domain)</w:t>
      </w:r>
      <w:r>
        <w:t xml:space="preserve"> </w:t>
      </w:r>
      <w:r>
        <w:t xml:space="preserve">before committing. Commit</w:t>
      </w:r>
      <w:r>
        <w:t xml:space="preserve"> </w:t>
      </w:r>
      <w:r>
        <w:t xml:space="preserve">only the intended import; roll back on refusal. Repeating an identical</w:t>
      </w:r>
      <w:r>
        <w:t xml:space="preserve"> </w:t>
      </w:r>
      <w:r>
        <w:t xml:space="preserve">complete version is a no-op.</w:t>
      </w:r>
    </w:p>
    <w:p>
      <w:pPr>
        <w:pStyle w:val="Compact"/>
        <w:numPr>
          <w:ilvl w:val="0"/>
          <w:numId w:val="1005"/>
        </w:numPr>
      </w:pPr>
      <w:r>
        <w:t xml:space="preserve">Treat returned systems and connector recommendations as catalog</w:t>
      </w:r>
      <w:r>
        <w:t xml:space="preserve"> </w:t>
      </w:r>
      <w:r>
        <w:t xml:space="preserve">information. Import does not discover vendor endpoints, install a</w:t>
      </w:r>
      <w:r>
        <w:t xml:space="preserve"> </w:t>
      </w:r>
      <w:r>
        <w:t xml:space="preserve">connector or establish access to a city’s system.</w:t>
      </w:r>
    </w:p>
    <w:p>
      <w:pPr>
        <w:pStyle w:val="FirstParagraph"/>
      </w:pPr>
      <w:r>
        <w:t xml:space="preserve">The following synthetic library example belongs inside an existing</w:t>
      </w:r>
      <w:r>
        <w:t xml:space="preserve"> </w:t>
      </w:r>
      <w:r>
        <w:t xml:space="preserve">authorized async transaction.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actual_actor_id</w:t>
      </w:r>
      <w:r>
        <w:t xml:space="preserve"> </w:t>
      </w:r>
      <w:r>
        <w:t xml:space="preserve">are supplied by that application; this is</w:t>
      </w:r>
      <w:r>
        <w:t xml:space="preserve"> </w:t>
      </w:r>
      <w:r>
        <w:t xml:space="preserve">not a command that seeds an administrator.</w:t>
      </w:r>
    </w:p>
    <w:bookmarkStart w:id="38" w:name="cb1"/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townlight_core.catalog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import_catalog, system_catalog</w:t>
      </w:r>
      <w:r>
        <w:br/>
      </w:r>
      <w:r>
        <w:br/>
      </w:r>
      <w:r>
        <w:rPr>
          <w:rStyle w:val="NormalTok"/>
        </w:rPr>
        <w:t xml:space="preserve">bundle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"catalog_version"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"synthetic-1"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"domains"</w:t>
      </w:r>
      <w:r>
        <w:rPr>
          <w:rStyle w:val="NormalTok"/>
        </w:rPr>
        <w:t xml:space="preserve">: [{</w:t>
      </w:r>
      <w:r>
        <w:rPr>
          <w:rStyle w:val="StringTok"/>
        </w:rPr>
        <w:t xml:space="preserve">"domain"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"synthetic-records"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"systems"</w:t>
      </w:r>
      <w:r>
        <w:rPr>
          <w:rStyle w:val="NormalTok"/>
        </w:rPr>
        <w:t xml:space="preserve">: [{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"vendor_name"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"Synthetic file source"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"access_protocol"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"file"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"data_shape"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"json"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"common_record_types"</w:t>
      </w:r>
      <w:r>
        <w:rPr>
          <w:rStyle w:val="NormalTok"/>
        </w:rPr>
        <w:t xml:space="preserve">: [</w:t>
      </w:r>
      <w:r>
        <w:rPr>
          <w:rStyle w:val="StringTok"/>
        </w:rPr>
        <w:t xml:space="preserve">"synthetic minutes"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"redaction_tier"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"discovery_hints"</w:t>
      </w:r>
      <w:r>
        <w:rPr>
          <w:rStyle w:val="NormalTok"/>
        </w:rPr>
        <w:t xml:space="preserve">: {}</w:t>
      </w:r>
      <w:r>
        <w:br/>
      </w:r>
      <w:r>
        <w:rPr>
          <w:rStyle w:val="NormalTok"/>
        </w:rPr>
        <w:t xml:space="preserve">    }]}]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loaded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import_catalog(session, bundle, actor_id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actual_actor_id)</w:t>
      </w:r>
      <w:r>
        <w:br/>
      </w:r>
      <w:r>
        <w:rPr>
          <w:rStyle w:val="NormalTok"/>
        </w:rPr>
        <w:t xml:space="preserve">rows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system_catalog(session, </w:t>
      </w:r>
      <w:r>
        <w:rPr>
          <w:rStyle w:val="StringTok"/>
        </w:rPr>
        <w:t xml:space="preserve">"synthetic-records"</w:t>
      </w:r>
      <w:r>
        <w:rPr>
          <w:rStyle w:val="NormalTok"/>
        </w:rPr>
        <w:t xml:space="preserve">)</w:t>
      </w:r>
    </w:p>
    <w:bookmarkEnd w:id="38"/>
    <w:p>
      <w:pPr>
        <w:pStyle w:val="FirstParagraph"/>
      </w:pPr>
      <w:r>
        <w:t xml:space="preserve">The Records compatibility facade reads its bundled</w:t>
      </w:r>
      <w:r>
        <w:t xml:space="preserve"> </w:t>
      </w:r>
      <w:r>
        <w:rPr>
          <w:rStyle w:val="VerbatimChar"/>
        </w:rPr>
        <w:t xml:space="preserve">app/data/systems_catalog.json</w:t>
      </w:r>
      <w:r>
        <w:t xml:space="preserve"> </w:t>
      </w:r>
      <w:r>
        <w:t xml:space="preserve">through Core. Its existing</w:t>
      </w:r>
      <w:r>
        <w:t xml:space="preserve"> </w:t>
      </w:r>
      <w:r>
        <w:t xml:space="preserve">administrator</w:t>
      </w:r>
      <w:r>
        <w:t xml:space="preserve"> </w:t>
      </w:r>
      <w:r>
        <w:rPr>
          <w:rStyle w:val="VerbatimChar"/>
        </w:rPr>
        <w:t xml:space="preserve">POST /catalog/load</w:t>
      </w:r>
      <w:r>
        <w:t xml:space="preserve"> </w:t>
      </w:r>
      <w:r>
        <w:t xml:space="preserve">takes no replacement</w:t>
      </w:r>
      <w:r>
        <w:t xml:space="preserve"> </w:t>
      </w:r>
      <w:r>
        <w:t xml:space="preserve">bundle body;</w:t>
      </w:r>
      <w:r>
        <w:t xml:space="preserve"> </w:t>
      </w:r>
      <w:r>
        <w:rPr>
          <w:rStyle w:val="VerbatimChar"/>
        </w:rPr>
        <w:t xml:space="preserve">GET /catalog/domains</w:t>
      </w:r>
      <w:r>
        <w:t xml:space="preserve">,</w:t>
      </w:r>
      <w:r>
        <w:t xml:space="preserve"> </w:t>
      </w:r>
      <w:r>
        <w:rPr>
          <w:rStyle w:val="VerbatimChar"/>
        </w:rPr>
        <w:t xml:space="preserve">/catalog/systems?domain=...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/catalog/connectors?domain=...</w:t>
      </w:r>
      <w:r>
        <w:t xml:space="preserve"> </w:t>
      </w:r>
      <w:r>
        <w:t xml:space="preserve">expose readback. These</w:t>
      </w:r>
      <w:r>
        <w:t xml:space="preserve"> </w:t>
      </w:r>
      <w:r>
        <w:t xml:space="preserve">non-desktop routes use the application’s actual authenticated</w:t>
      </w:r>
      <w:r>
        <w:t xml:space="preserve"> </w:t>
      </w:r>
      <w:r>
        <w:t xml:space="preserve">staff/admin dependencies. Do not substitute an invented role header. The</w:t>
      </w:r>
      <w:r>
        <w:t xml:space="preserve"> </w:t>
      </w:r>
      <w:r>
        <w:t xml:space="preserve">shared SDK example above is the route for a developer-supplied</w:t>
      </w:r>
      <w:r>
        <w:t xml:space="preserve"> </w:t>
      </w:r>
      <w:r>
        <w:t xml:space="preserve">bundle.</w:t>
      </w:r>
    </w:p>
    <w:bookmarkEnd w:id="39"/>
    <w:bookmarkStart w:id="41" w:name="Xa814f86ec8208751e9b604b07b2ed51bdcf5064"/>
    <w:p>
      <w:pPr>
        <w:pStyle w:val="Heading3"/>
      </w:pPr>
      <w:r>
        <w:t xml:space="preserve">Jurisdictional rule</w:t>
      </w:r>
      <w:r>
        <w:t xml:space="preserve"> </w:t>
      </w:r>
      <w:r>
        <w:t xml:space="preserve">evaluation and review</w:t>
      </w:r>
    </w:p>
    <w:p>
      <w:pPr>
        <w:pStyle w:val="FirstParagraph"/>
      </w:pPr>
      <w:r>
        <w:t xml:space="preserve">Select the jurisdiction and active reviewed rule versions before</w:t>
      </w:r>
      <w:r>
        <w:t xml:space="preserve"> </w:t>
      </w:r>
      <w:r>
        <w:t xml:space="preserve">evaluating document text. Core’s</w:t>
      </w:r>
      <w:r>
        <w:t xml:space="preserve"> </w:t>
      </w:r>
      <w:r>
        <w:rPr>
          <w:rStyle w:val="VerbatimChar"/>
        </w:rPr>
        <w:t xml:space="preserve">Rule</w:t>
      </w:r>
      <w:r>
        <w:t xml:space="preserve"> </w:t>
      </w:r>
      <w:r>
        <w:t xml:space="preserve">carries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state_code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category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rule_type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definition</w:t>
      </w:r>
      <w:r>
        <w:t xml:space="preserve"> </w:t>
      </w:r>
      <w:r>
        <w:t xml:space="preserve">and integer</w:t>
      </w:r>
      <w:r>
        <w:t xml:space="preserve"> </w:t>
      </w:r>
      <w:r>
        <w:rPr>
          <w:rStyle w:val="VerbatimChar"/>
        </w:rPr>
        <w:t xml:space="preserve">version</w:t>
      </w:r>
      <w:r>
        <w:t xml:space="preserve">. Supported supplied rule types are</w:t>
      </w:r>
      <w:r>
        <w:t xml:space="preserve"> </w:t>
      </w:r>
      <w:r>
        <w:rPr>
          <w:rStyle w:val="VerbatimChar"/>
        </w:rPr>
        <w:t xml:space="preserve">keyword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regex</w:t>
      </w:r>
      <w:r>
        <w:t xml:space="preserve">; an unsupported rule or</w:t>
      </w:r>
      <w:r>
        <w:t xml:space="preserve"> </w:t>
      </w:r>
      <w:r>
        <w:t xml:space="preserve">incomplete/timed-out scan raises</w:t>
      </w:r>
      <w:r>
        <w:t xml:space="preserve"> </w:t>
      </w:r>
      <w:r>
        <w:rPr>
          <w:rStyle w:val="VerbatimChar"/>
        </w:rPr>
        <w:t xml:space="preserve">RuleEvaluationError</w:t>
      </w:r>
      <w:r>
        <w:t xml:space="preserve">. An</w:t>
      </w:r>
      <w:r>
        <w:t xml:space="preserve"> </w:t>
      </w:r>
      <w:r>
        <w:t xml:space="preserve">error must remain an incomplete scan, never “no exemptions found.” Core</w:t>
      </w:r>
      <w:r>
        <w:t xml:space="preserve"> </w:t>
      </w:r>
      <w:r>
        <w:t xml:space="preserve">does not assume a jurisdiction or claim complete legal coverage.</w:t>
      </w:r>
    </w:p>
    <w:bookmarkStart w:id="40" w:name="cb2"/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uuid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UUID</w:t>
      </w:r>
      <w:r>
        <w:br/>
      </w:r>
      <w:r>
        <w:rPr>
          <w:rStyle w:val="ImportTok"/>
        </w:rPr>
        <w:t xml:space="preserve">from</w:t>
      </w:r>
      <w:r>
        <w:rPr>
          <w:rStyle w:val="NormalTok"/>
        </w:rPr>
        <w:t xml:space="preserve"> townlight_core.exemptions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Rule, evaluate, RuleEvaluationError</w:t>
      </w:r>
      <w:r>
        <w:br/>
      </w:r>
      <w:r>
        <w:br/>
      </w:r>
      <w:r>
        <w:rPr>
          <w:rStyle w:val="NormalTok"/>
        </w:rPr>
        <w:t xml:space="preserve">rule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Rule(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id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UUID(</w:t>
      </w:r>
      <w:r>
        <w:rPr>
          <w:rStyle w:val="StringTok"/>
        </w:rPr>
        <w:t xml:space="preserve">"11111111-1111-4111-8111-111111111111"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state_code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"CO"</w:t>
      </w:r>
      <w:r>
        <w:rPr>
          <w:rStyle w:val="NormalTok"/>
        </w:rPr>
        <w:t xml:space="preserve">, category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"Synthetic review flag"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rule_type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"keyword"</w:t>
      </w:r>
      <w:r>
        <w:rPr>
          <w:rStyle w:val="NormalTok"/>
        </w:rPr>
        <w:t xml:space="preserve">, definition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"synthetic protected text"</w:t>
      </w:r>
      <w:r>
        <w:rPr>
          <w:rStyle w:val="NormalTok"/>
        </w:rPr>
        <w:t xml:space="preserve">, version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flags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evaluate(</w:t>
      </w:r>
      <w:r>
        <w:rPr>
          <w:rStyle w:val="StringTok"/>
        </w:rPr>
        <w:t xml:space="preserve">"Contains synthetic protected text"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"CO"</w:t>
      </w:r>
      <w:r>
        <w:rPr>
          <w:rStyle w:val="NormalTok"/>
        </w:rPr>
        <w:t xml:space="preserve">, rules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[rule])</w:t>
      </w:r>
      <w:r>
        <w:br/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RuleEvaluationError: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raise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The owning application records an incomplete scan.</w:t>
      </w:r>
    </w:p>
    <w:bookmarkEnd w:id="40"/>
    <w:p>
      <w:pPr>
        <w:pStyle w:val="FirstParagraph"/>
      </w:pPr>
      <w:r>
        <w:t xml:space="preserve">This is fictional test text, not a Colorado exemption rule. Read each</w:t>
      </w:r>
      <w:r>
        <w:t xml:space="preserve"> </w:t>
      </w:r>
      <w:r>
        <w:t xml:space="preserve">result’s matched text, rule identity/version and confidence, then use</w:t>
      </w:r>
      <w:r>
        <w:t xml:space="preserve"> </w:t>
      </w:r>
      <w:r>
        <w:t xml:space="preserve">Records’ explicit reviewer decision and legal/source basis. A flag is</w:t>
      </w:r>
      <w:r>
        <w:t xml:space="preserve"> </w:t>
      </w:r>
      <w:r>
        <w:t xml:space="preserve">not an authorized withholding or redaction. Records’ existing exemption</w:t>
      </w:r>
      <w:r>
        <w:t xml:space="preserve"> </w:t>
      </w:r>
      <w:r>
        <w:t xml:space="preserve">rule/history/test and flag-review endpoints are listed in its technical</w:t>
      </w:r>
      <w:r>
        <w:t xml:space="preserve"> </w:t>
      </w:r>
      <w:r>
        <w:t xml:space="preserve">reference; record changes through those controls, preserving</w:t>
      </w:r>
      <w:r>
        <w:t xml:space="preserve"> </w:t>
      </w:r>
      <w:r>
        <w:t xml:space="preserve">history.</w:t>
      </w:r>
    </w:p>
    <w:bookmarkEnd w:id="41"/>
    <w:bookmarkStart w:id="43" w:name="scaffold-plan-and-generate"/>
    <w:p>
      <w:pPr>
        <w:pStyle w:val="Heading3"/>
      </w:pPr>
      <w:r>
        <w:t xml:space="preserve">Scaffold plan and generate</w:t>
      </w:r>
    </w:p>
    <w:p>
      <w:pPr>
        <w:pStyle w:val="FirstParagraph"/>
      </w:pPr>
      <w:r>
        <w:t xml:space="preserve">Run the existing CLI from a developer environment containing the</w:t>
      </w:r>
      <w:r>
        <w:t xml:space="preserve"> </w:t>
      </w:r>
      <w:r>
        <w:t xml:space="preserve">matching Core package. Choose an existing empty parent workspace</w:t>
      </w:r>
      <w:r>
        <w:t xml:space="preserve"> </w:t>
      </w:r>
      <w:r>
        <w:t xml:space="preserve">directory, not an installed application’s directory. The module’s own</w:t>
      </w:r>
      <w:r>
        <w:t xml:space="preserve"> </w:t>
      </w:r>
      <w:r>
        <w:t xml:space="preserve">directory will be created underneath it. The following creates only a</w:t>
      </w:r>
      <w:r>
        <w:t xml:space="preserve"> </w:t>
      </w:r>
      <w:r>
        <w:t xml:space="preserve">fictional module project; it does not register, install, migrate or run</w:t>
      </w:r>
      <w:r>
        <w:t xml:space="preserve"> </w:t>
      </w:r>
      <w:r>
        <w:t xml:space="preserve">it.</w:t>
      </w:r>
    </w:p>
    <w:bookmarkStart w:id="42" w:name="cb3"/>
    <w:p>
      <w:pPr>
        <w:pStyle w:val="SourceCode"/>
      </w:pP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$control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m townlight_core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scaffold</w:t>
      </w:r>
      <w:r>
        <w:rPr>
          <w:rStyle w:val="NormalTok"/>
        </w:rPr>
        <w:t xml:space="preserve"> plan civicnotes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--</w:t>
      </w:r>
      <w:r>
        <w:rPr>
          <w:rStyle w:val="NormalTok"/>
        </w:rPr>
        <w:t xml:space="preserve">name </w:t>
      </w:r>
      <w:r>
        <w:rPr>
          <w:rStyle w:val="StringTok"/>
        </w:rPr>
        <w:t xml:space="preserve">'Synthetic Notes'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--</w:t>
      </w:r>
      <w:r>
        <w:rPr>
          <w:rStyle w:val="NormalTok"/>
        </w:rPr>
        <w:t xml:space="preserve">description </w:t>
      </w:r>
      <w:r>
        <w:rPr>
          <w:rStyle w:val="StringTok"/>
        </w:rPr>
        <w:t xml:space="preserve">'Synthetic scaffold exercise'</w:t>
      </w:r>
      <w:r>
        <w:br/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$control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m townlight_core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scaffold</w:t>
      </w:r>
      <w:r>
        <w:rPr>
          <w:rStyle w:val="NormalTok"/>
        </w:rPr>
        <w:t xml:space="preserve"> generate civicnotes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--</w:t>
      </w:r>
      <w:r>
        <w:rPr>
          <w:rStyle w:val="NormalTok"/>
        </w:rPr>
        <w:t xml:space="preserve">name </w:t>
      </w:r>
      <w:r>
        <w:rPr>
          <w:rStyle w:val="StringTok"/>
        </w:rPr>
        <w:t xml:space="preserve">'Synthetic Notes'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--</w:t>
      </w:r>
      <w:r>
        <w:rPr>
          <w:rStyle w:val="NormalTok"/>
        </w:rPr>
        <w:t xml:space="preserve">description </w:t>
      </w:r>
      <w:r>
        <w:rPr>
          <w:rStyle w:val="StringTok"/>
        </w:rPr>
        <w:t xml:space="preserve">'Synthetic scaffold exercise'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--</w:t>
      </w:r>
      <w:r>
        <w:rPr>
          <w:rStyle w:val="NormalTok"/>
        </w:rPr>
        <w:t xml:space="preserve">target </w:t>
      </w:r>
      <w:r>
        <w:rPr>
          <w:rStyle w:val="StringTok"/>
        </w:rPr>
        <w:t xml:space="preserve">'C:\TownlightSynthetic'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--</w:t>
      </w:r>
      <w:r>
        <w:rPr>
          <w:rStyle w:val="NormalTok"/>
        </w:rPr>
        <w:t xml:space="preserve">dry-run</w:t>
      </w:r>
    </w:p>
    <w:bookmarkEnd w:id="42"/>
    <w:p>
      <w:pPr>
        <w:pStyle w:val="FirstParagraph"/>
      </w:pPr>
      <w:r>
        <w:t xml:space="preserve">Here</w:t>
      </w:r>
      <w:r>
        <w:t xml:space="preserve"> </w:t>
      </w:r>
      <w:r>
        <w:rPr>
          <w:rStyle w:val="VerbatimChar"/>
        </w:rPr>
        <w:t xml:space="preserve">$control</w:t>
      </w:r>
      <w:r>
        <w:t xml:space="preserve"> </w:t>
      </w:r>
      <w:r>
        <w:t xml:space="preserve">is the Python executable in that isolated</w:t>
      </w:r>
      <w:r>
        <w:t xml:space="preserve"> </w:t>
      </w:r>
      <w:r>
        <w:t xml:space="preserve">developer environment. Inspect the plan and files, then remove</w:t>
      </w:r>
      <w:r>
        <w:t xml:space="preserve"> </w:t>
      </w:r>
      <w:r>
        <w:rPr>
          <w:rStyle w:val="VerbatimChar"/>
        </w:rPr>
        <w:t xml:space="preserve">--dry-run</w:t>
      </w:r>
      <w:r>
        <w:t xml:space="preserve"> </w:t>
      </w:r>
      <w:r>
        <w:t xml:space="preserve">only when that exact target is approved for</w:t>
      </w:r>
      <w:r>
        <w:t xml:space="preserve"> </w:t>
      </w:r>
      <w:r>
        <w:t xml:space="preserve">generation. Existing files are refused, not silently overwritten. Exit 0</w:t>
      </w:r>
      <w:r>
        <w:t xml:space="preserve"> </w:t>
      </w:r>
      <w:r>
        <w:t xml:space="preserve">indicates success; refusal exits 2. Options include</w:t>
      </w:r>
      <w:r>
        <w:t xml:space="preserve"> </w:t>
      </w:r>
      <w:r>
        <w:rPr>
          <w:rStyle w:val="VerbatimChar"/>
        </w:rPr>
        <w:t xml:space="preserve">--version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--townlight_core-min-version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--permission-key</w:t>
      </w:r>
      <w:r>
        <w:t xml:space="preserve">, repeated</w:t>
      </w:r>
      <w:r>
        <w:t xml:space="preserve"> </w:t>
      </w:r>
      <w:r>
        <w:rPr>
          <w:rStyle w:val="VerbatimChar"/>
        </w:rPr>
        <w:t xml:space="preserve">--staff-role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--route-path</w:t>
      </w:r>
      <w:r>
        <w:t xml:space="preserve">; inspect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for the exact</w:t>
      </w:r>
      <w:r>
        <w:t xml:space="preserve"> </w:t>
      </w:r>
      <w:r>
        <w:t xml:space="preserve">invocation. Keep generated access requirements and migration stubs under</w:t>
      </w:r>
      <w:r>
        <w:t xml:space="preserve"> </w:t>
      </w:r>
      <w:r>
        <w:t xml:space="preserve">the new module’s own review. No automatic product deployment follows</w:t>
      </w:r>
      <w:r>
        <w:t xml:space="preserve"> </w:t>
      </w:r>
      <w:r>
        <w:t xml:space="preserve">generation.</w:t>
      </w:r>
    </w:p>
    <w:p>
      <w:pPr>
        <w:pStyle w:val="BodyText"/>
      </w:pPr>
      <w:r>
        <w:t xml:space="preserve">Source contracts:</w:t>
      </w:r>
      <w:r>
        <w:t xml:space="preserve"> </w:t>
      </w:r>
      <w:r>
        <w:rPr>
          <w:rStyle w:val="VerbatimChar"/>
        </w:rPr>
        <w:t xml:space="preserve">townlight_core/catalog/__init__.py</w:t>
      </w:r>
      <w:r>
        <w:t xml:space="preserve">,</w:t>
      </w:r>
      <w:r>
        <w:t xml:space="preserve"> </w:t>
      </w:r>
      <w:r>
        <w:rPr>
          <w:rStyle w:val="VerbatimChar"/>
        </w:rPr>
        <w:t xml:space="preserve">townlight_core/exemptions/__init__.py</w:t>
      </w:r>
      <w:r>
        <w:t xml:space="preserve">,</w:t>
      </w:r>
      <w:r>
        <w:t xml:space="preserve"> </w:t>
      </w:r>
      <w:r>
        <w:rPr>
          <w:rStyle w:val="VerbatimChar"/>
        </w:rPr>
        <w:t xml:space="preserve">townlight_core/scaffold/cli.py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project.py</w:t>
      </w:r>
      <w:r>
        <w:t xml:space="preserve">,</w:t>
      </w:r>
      <w:r>
        <w:t xml:space="preserve"> </w:t>
      </w:r>
      <w:r>
        <w:t xml:space="preserve">and the Records catalog facade.</w:t>
      </w:r>
    </w:p>
    <w:bookmarkEnd w:id="43"/>
    <w:bookmarkEnd w:id="44"/>
    <w:bookmarkStart w:id="50" w:name="technical-specifications"/>
    <w:p>
      <w:pPr>
        <w:pStyle w:val="Heading2"/>
      </w:pPr>
      <w:r>
        <w:t xml:space="preserve">Technical specifications</w:t>
      </w:r>
    </w:p>
    <w:bookmarkStart w:id="45" w:name="runtime-and-storage"/>
    <w:p>
      <w:pPr>
        <w:pStyle w:val="Heading3"/>
      </w:pPr>
      <w:r>
        <w:t xml:space="preserve">Runtime and storage</w:t>
      </w:r>
    </w:p>
    <w:p>
      <w:pPr>
        <w:pStyle w:val="FirstParagraph"/>
      </w:pPr>
      <w:r>
        <w:t xml:space="preserve">The accepted package targets</w:t>
      </w:r>
      <w:r>
        <w:t xml:space="preserve"> </w:t>
      </w:r>
      <w:r>
        <w:rPr>
          <w:b/>
          <w:bCs/>
        </w:rPr>
        <w:t xml:space="preserve">Windows x64 fresh</w:t>
      </w:r>
      <w:r>
        <w:rPr>
          <w:b/>
          <w:bCs/>
        </w:rPr>
        <w:t xml:space="preserve"> </w:t>
      </w:r>
      <w:r>
        <w:rPr>
          <w:b/>
          <w:bCs/>
        </w:rPr>
        <w:t xml:space="preserve">installation</w:t>
      </w:r>
      <w:r>
        <w:t xml:space="preserve">. Its native shell uses</w:t>
      </w:r>
      <w:r>
        <w:t xml:space="preserve"> </w:t>
      </w:r>
      <w:r>
        <w:rPr>
          <w:b/>
          <w:bCs/>
        </w:rPr>
        <w:t xml:space="preserve">Rust 2021, Tauri 2</w:t>
      </w:r>
      <w:r>
        <w:rPr>
          <w:b/>
          <w:bCs/>
        </w:rPr>
        <w:t xml:space="preserve"> </w:t>
      </w:r>
      <w:r>
        <w:rPr>
          <w:b/>
          <w:bCs/>
        </w:rPr>
        <w:t xml:space="preserve">and Microsoft WebView2</w:t>
      </w:r>
      <w:r>
        <w:t xml:space="preserve">; browser assets are JavaScript built</w:t>
      </w:r>
      <w:r>
        <w:t xml:space="preserve"> </w:t>
      </w:r>
      <w:r>
        <w:t xml:space="preserve">with</w:t>
      </w:r>
      <w:r>
        <w:t xml:space="preserve"> </w:t>
      </w:r>
      <w:r>
        <w:rPr>
          <w:b/>
          <w:bCs/>
        </w:rPr>
        <w:t xml:space="preserve">Vite 8.1.6</w:t>
      </w:r>
      <w:r>
        <w:t xml:space="preserve">. This describes the native desktop</w:t>
      </w:r>
      <w:r>
        <w:t xml:space="preserve"> </w:t>
      </w:r>
      <w:r>
        <w:t xml:space="preserve">frontend; Station has a separate React operator, specified below or in</w:t>
      </w:r>
      <w:r>
        <w:t xml:space="preserve"> </w:t>
      </w:r>
      <w:r>
        <w:t xml:space="preserve">its product manual. Canonical business workflows use bundled</w:t>
      </w:r>
      <w:r>
        <w:t xml:space="preserve"> </w:t>
      </w:r>
      <w:r>
        <w:rPr>
          <w:b/>
          <w:bCs/>
        </w:rPr>
        <w:t xml:space="preserve">CPython 3.13.5, FastAPI, Pydantic, SQLAlchemy and</w:t>
      </w:r>
      <w:r>
        <w:rPr>
          <w:b/>
          <w:bCs/>
        </w:rPr>
        <w:t xml:space="preserve"> </w:t>
      </w:r>
      <w:r>
        <w:rPr>
          <w:b/>
          <w:bCs/>
        </w:rPr>
        <w:t xml:space="preserve">Alembic</w:t>
      </w:r>
      <w:r>
        <w:t xml:space="preserve">, with</w:t>
      </w:r>
      <w:r>
        <w:t xml:space="preserve"> </w:t>
      </w:r>
      <w:r>
        <w:rPr>
          <w:b/>
          <w:bCs/>
        </w:rPr>
        <w:t xml:space="preserve">PostgreSQL 17 / PostGIS</w:t>
      </w:r>
      <w:r>
        <w:t xml:space="preserve"> </w:t>
      </w:r>
      <w:r>
        <w:t xml:space="preserve">and</w:t>
      </w:r>
      <w:r>
        <w:t xml:space="preserve"> </w:t>
      </w:r>
      <w:r>
        <w:t xml:space="preserve">managed original files. The installed runtime tested here contains</w:t>
      </w:r>
      <w:r>
        <w:t xml:space="preserve"> </w:t>
      </w:r>
      <w:r>
        <w:t xml:space="preserve">FastAPI 0.162.0. Package minimum Python requirements can differ from the</w:t>
      </w:r>
      <w:r>
        <w:t xml:space="preserve"> </w:t>
      </w:r>
      <w:r>
        <w:t xml:space="preserve">bundled executable; the metadata reference preserves both. No stack</w:t>
      </w:r>
      <w:r>
        <w:t xml:space="preserve"> </w:t>
      </w:r>
      <w:r>
        <w:t xml:space="preserve">rewrite is implied by the beta label.</w:t>
      </w:r>
    </w:p>
    <w:p>
      <w:pPr>
        <w:pStyle w:val="BodyText"/>
      </w:pPr>
      <w:r>
        <w:t xml:space="preserve">The native transport is fixed to loopback</w:t>
      </w:r>
      <w:r>
        <w:t xml:space="preserve"> </w:t>
      </w:r>
      <w:r>
        <w:rPr>
          <w:rStyle w:val="VerbatimChar"/>
        </w:rPr>
        <w:t xml:space="preserve">127.0.0.1:15480</w:t>
      </w:r>
      <w:r>
        <w:t xml:space="preserve">; PostgreSQL uses the configured local</w:t>
      </w:r>
      <w:r>
        <w:t xml:space="preserve"> </w:t>
      </w:r>
      <w:r>
        <w:t xml:space="preserve">runtime port (default</w:t>
      </w:r>
      <w:r>
        <w:t xml:space="preserve"> </w:t>
      </w:r>
      <w:r>
        <w:rPr>
          <w:rStyle w:val="VerbatimChar"/>
        </w:rPr>
        <w:t xml:space="preserve">15432</w:t>
      </w:r>
      <w:r>
        <w:t xml:space="preserve">). Optional local model service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127.0.0.1:15434</w:t>
      </w:r>
      <w:r>
        <w:t xml:space="preserve">. Those are deployment defaults,</w:t>
      </w:r>
      <w:r>
        <w:t xml:space="preserve"> </w:t>
      </w:r>
      <w:r>
        <w:t xml:space="preserve">not internet endpoints. The runtime has health, module and readiness</w:t>
      </w:r>
      <w:r>
        <w:t xml:space="preserve"> </w:t>
      </w:r>
      <w:r>
        <w:t xml:space="preserve">endpoints; readiness is stronger than process existence. The task queue</w:t>
      </w:r>
      <w:r>
        <w:t xml:space="preserve"> </w:t>
      </w:r>
      <w:r>
        <w:t xml:space="preserve">is the existing local Core task infrastructure, not an assertion that a</w:t>
      </w:r>
      <w:r>
        <w:t xml:space="preserve"> </w:t>
      </w:r>
      <w:r>
        <w:t xml:space="preserve">separate Redis service is required for this desktop composition.</w:t>
      </w:r>
    </w:p>
    <w:p>
      <w:pPr>
        <w:pStyle w:val="BodyText"/>
      </w:pPr>
      <w:r>
        <w:t xml:space="preserve">The default native profile is</w:t>
      </w:r>
      <w:r>
        <w:t xml:space="preserve"> </w:t>
      </w:r>
      <w:r>
        <w:rPr>
          <w:rStyle w:val="VerbatimChar"/>
        </w:rPr>
        <w:t xml:space="preserve">%LOCALAPPDATA%\CivicSuite</w:t>
      </w:r>
      <w:r>
        <w:t xml:space="preserve">;</w:t>
      </w:r>
      <w:r>
        <w:t xml:space="preserve"> </w:t>
      </w:r>
      <w:r>
        <w:t xml:space="preserve">the historical directory name remains part of compatibility. Do not</w:t>
      </w:r>
      <w:r>
        <w:t xml:space="preserve"> </w:t>
      </w:r>
      <w:r>
        <w:t xml:space="preserve">rename it to Townlight. A configured</w:t>
      </w:r>
      <w:r>
        <w:t xml:space="preserve"> </w:t>
      </w:r>
      <w:r>
        <w:rPr>
          <w:rStyle w:val="VerbatimChar"/>
        </w:rPr>
        <w:t xml:space="preserve">TOWNLIGHT_PROFILE_ROOT</w:t>
      </w:r>
      <w:r>
        <w:t xml:space="preserve"> </w:t>
      </w:r>
      <w:r>
        <w:t xml:space="preserve">must be absolute. Local configuration and secrets live under that</w:t>
      </w:r>
      <w:r>
        <w:t xml:space="preserve"> </w:t>
      </w:r>
      <w:r>
        <w:t xml:space="preserve">profile; protected managed files and database state must be backed up</w:t>
      </w:r>
      <w:r>
        <w:t xml:space="preserve"> </w:t>
      </w:r>
      <w:r>
        <w:t xml:space="preserve">coherently. Source/runtime identity is distinct from a product’s display</w:t>
      </w:r>
      <w:r>
        <w:t xml:space="preserve"> </w:t>
      </w:r>
      <w:r>
        <w:t xml:space="preserve">label.</w:t>
      </w:r>
    </w:p>
    <w:bookmarkEnd w:id="45"/>
    <w:bookmarkStart w:id="46" w:name="data-and-consistency"/>
    <w:p>
      <w:pPr>
        <w:pStyle w:val="Heading3"/>
      </w:pPr>
      <w:r>
        <w:t xml:space="preserve">Data and consistency</w:t>
      </w:r>
    </w:p>
    <w:p>
      <w:pPr>
        <w:pStyle w:val="FirstParagraph"/>
      </w:pPr>
      <w:r>
        <w:t xml:space="preserve">Named local accounts; native sessions; source and department</w:t>
      </w:r>
      <w:r>
        <w:t xml:space="preserve"> </w:t>
      </w:r>
      <w:r>
        <w:t xml:space="preserve">authority; task receipts; profile configuration; coherent backup</w:t>
      </w:r>
      <w:r>
        <w:t xml:space="preserve"> </w:t>
      </w:r>
      <w:r>
        <w:t xml:space="preserve">manifests; catalog, exemption and scaffold contracts.</w:t>
      </w:r>
    </w:p>
    <w:p>
      <w:pPr>
        <w:pStyle w:val="BodyText"/>
      </w:pPr>
      <w:r>
        <w:t xml:space="preserve">Versioned saves use expected prior revision identifiers where</w:t>
      </w:r>
      <w:r>
        <w:t xml:space="preserve"> </w:t>
      </w:r>
      <w:r>
        <w:t xml:space="preserve">defined. Reopen and reconcile on conflict. Exact exports and handoffs</w:t>
      </w:r>
      <w:r>
        <w:t xml:space="preserve"> </w:t>
      </w:r>
      <w:r>
        <w:t xml:space="preserve">use source IDs, current visibility, revision and SHA256. Review belongs</w:t>
      </w:r>
      <w:r>
        <w:t xml:space="preserve"> </w:t>
      </w:r>
      <w:r>
        <w:t xml:space="preserve">to the saved revision and does not transfer silently to edited text.</w:t>
      </w:r>
      <w:r>
        <w:t xml:space="preserve"> </w:t>
      </w:r>
      <w:r>
        <w:t xml:space="preserve">Database changes use the owning product’s migrations; a request or</w:t>
      </w:r>
      <w:r>
        <w:t xml:space="preserve"> </w:t>
      </w:r>
      <w:r>
        <w:t xml:space="preserve">readiness check is not an authorization to mutate schema.</w:t>
      </w:r>
    </w:p>
    <w:bookmarkEnd w:id="46"/>
    <w:bookmarkStart w:id="49" w:name="capacity-and-platform-statements"/>
    <w:p>
      <w:pPr>
        <w:pStyle w:val="Heading3"/>
      </w:pPr>
      <w:r>
        <w:t xml:space="preserve">Capacity and platform</w:t>
      </w:r>
      <w:r>
        <w:t xml:space="preserve"> </w:t>
      </w:r>
      <w:r>
        <w:t xml:space="preserve">statements</w:t>
      </w:r>
    </w:p>
    <w:p>
      <w:pPr>
        <w:pStyle w:val="FirstParagraph"/>
      </w:pPr>
      <w:r>
        <w:t xml:space="preserve">This beta has synthetic single-profile workflow evidence. It does not</w:t>
      </w:r>
      <w:r>
        <w:t xml:space="preserve"> </w:t>
      </w:r>
      <w:r>
        <w:t xml:space="preserve">have a published benchmark for concurrent staff capacity, minimum</w:t>
      </w:r>
      <w:r>
        <w:t xml:space="preserve"> </w:t>
      </w:r>
      <w:r>
        <w:t xml:space="preserve">RAM/CPU, large-source limits or a field SLA. Do not turn a developer</w:t>
      </w:r>
      <w:r>
        <w:t xml:space="preserve"> </w:t>
      </w:r>
      <w:r>
        <w:t xml:space="preserve">machine’s specification into a supported minimum. The signed MSI is 2,082,697,216 bytes; allow additional disk for extracted runtime,</w:t>
      </w:r>
      <w:r>
        <w:t xml:space="preserve"> </w:t>
      </w:r>
      <w:r>
        <w:t xml:space="preserve">database, originals, exports, media and backups. Select</w:t>
      </w:r>
      <w:r>
        <w:t xml:space="preserve"> </w:t>
      </w:r>
      <w:r>
        <w:t xml:space="preserve">equipment/storage after sizing those actual workloads.</w:t>
      </w:r>
    </w:p>
    <w:p>
      <w:pPr>
        <w:pStyle w:val="BodyText"/>
      </w:pPr>
      <w:r>
        <w:t xml:space="preserve">The exact</w:t>
      </w:r>
      <w:r>
        <w:t xml:space="preserve"> </w:t>
      </w:r>
      <w:hyperlink r:id="rId47">
        <w:r>
          <w:rPr>
            <w:rStyle w:val="Hyperlink"/>
          </w:rPr>
          <w:t xml:space="preserve">runtime payload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lock</w:t>
        </w:r>
      </w:hyperlink>
      <w:r>
        <w:t xml:space="preserve"> </w:t>
      </w:r>
      <w:r>
        <w:t xml:space="preserve">records pinned files, sizes and hashes. The</w:t>
      </w:r>
      <w:r>
        <w:t xml:space="preserve"> </w:t>
      </w:r>
      <w:hyperlink r:id="rId48">
        <w:r>
          <w:rPr>
            <w:rStyle w:val="Hyperlink"/>
          </w:rPr>
          <w:t xml:space="preserve">component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records shipped dependency declarations. These references</w:t>
      </w:r>
      <w:r>
        <w:t xml:space="preserve"> </w:t>
      </w:r>
      <w:r>
        <w:t xml:space="preserve">are more precise than a manually copied dependency list. Third-party and</w:t>
      </w:r>
      <w:r>
        <w:t xml:space="preserve"> </w:t>
      </w:r>
      <w:r>
        <w:t xml:space="preserve">historical license notices must accompany their matching payloads.</w:t>
      </w:r>
    </w:p>
    <w:bookmarkEnd w:id="49"/>
    <w:bookmarkEnd w:id="50"/>
    <w:bookmarkStart w:id="52" w:name="configuration-and-administration"/>
    <w:p>
      <w:pPr>
        <w:pStyle w:val="Heading2"/>
      </w:pPr>
      <w:r>
        <w:t xml:space="preserve">Configuration and</w:t>
      </w:r>
      <w:r>
        <w:t xml:space="preserve"> </w:t>
      </w:r>
      <w:r>
        <w:t xml:space="preserve">administration</w:t>
      </w:r>
    </w:p>
    <w:bookmarkStart w:id="51" w:name="native-deployment-configuration"/>
    <w:p>
      <w:pPr>
        <w:pStyle w:val="Heading3"/>
      </w:pPr>
      <w:r>
        <w:t xml:space="preserve">Native deployment</w:t>
      </w:r>
      <w:r>
        <w:t xml:space="preserve"> </w:t>
      </w:r>
      <w:r>
        <w:t xml:space="preserve">configuration</w:t>
      </w:r>
    </w:p>
    <w:p>
      <w:pPr>
        <w:pStyle w:val="FirstParagraph"/>
      </w:pPr>
      <w:r>
        <w:t xml:space="preserve">Use Setup, Settings and System Health for supported staff operation.</w:t>
      </w:r>
      <w:r>
        <w:t xml:space="preserve"> </w:t>
      </w:r>
      <w:r>
        <w:t xml:space="preserve">Administrators provision folders, backup storage, named accounts and the</w:t>
      </w:r>
      <w:r>
        <w:t xml:space="preserve"> </w:t>
      </w:r>
      <w:r>
        <w:t xml:space="preserve">city profile. Select</w:t>
      </w:r>
      <w:r>
        <w:t xml:space="preserve"> </w:t>
      </w:r>
      <w:r>
        <w:rPr>
          <w:rStyle w:val="VerbatimChar"/>
        </w:rPr>
        <w:t xml:space="preserve">inspections-preview</w:t>
      </w:r>
      <w:r>
        <w:t xml:space="preserve"> </w:t>
      </w:r>
      <w:r>
        <w:t xml:space="preserve">for the bounded</w:t>
      </w:r>
      <w:r>
        <w:t xml:space="preserve"> </w:t>
      </w:r>
      <w:r>
        <w:t xml:space="preserve">desktop composition, including Access and Notice. Station remains a</w:t>
      </w:r>
      <w:r>
        <w:t xml:space="preserve"> </w:t>
      </w:r>
      <w:r>
        <w:t xml:space="preserve">separate service boundary. Do not use a standalone product’s demo server</w:t>
      </w:r>
      <w:r>
        <w:t xml:space="preserve"> </w:t>
      </w:r>
      <w:r>
        <w:t xml:space="preserve">as a substitute for the installed workspace.</w:t>
      </w:r>
    </w:p>
    <w:p>
      <w:pPr>
        <w:pStyle w:val="BodyText"/>
      </w:pPr>
      <w:r>
        <w:t xml:space="preserve">Technical deployments use</w:t>
      </w:r>
      <w:r>
        <w:t xml:space="preserve"> </w:t>
      </w:r>
      <w:r>
        <w:rPr>
          <w:rStyle w:val="VerbatimChar"/>
        </w:rPr>
        <w:t xml:space="preserve">TOWNLIGHT_PRODUCT_PROFILE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TOWNLIGHT_PROFILE_ROOT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DATABASE_URL</w:t>
      </w:r>
      <w:r>
        <w:t xml:space="preserve">,</w:t>
      </w:r>
      <w:r>
        <w:t xml:space="preserve"> </w:t>
      </w:r>
      <w:r>
        <w:rPr>
          <w:rStyle w:val="VerbatimChar"/>
        </w:rPr>
        <w:t xml:space="preserve">TOWNLIGHT_RUNTIME_PORT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PORTAL_MODE</w:t>
      </w:r>
      <w:r>
        <w:t xml:space="preserve"> </w:t>
      </w:r>
      <w:r>
        <w:t xml:space="preserve">and the</w:t>
      </w:r>
      <w:r>
        <w:t xml:space="preserve"> </w:t>
      </w:r>
      <w:r>
        <w:t xml:space="preserve">runtime-managed secret files. Treat database URLs and native session</w:t>
      </w:r>
      <w:r>
        <w:t xml:space="preserve"> </w:t>
      </w:r>
      <w:r>
        <w:t xml:space="preserve">proofs as secrets. The installed native domain runtime explicitly</w:t>
      </w:r>
      <w:r>
        <w:t xml:space="preserve"> </w:t>
      </w:r>
      <w:r>
        <w:t xml:space="preserve">refuses non-loopback binding.</w:t>
      </w:r>
      <w:r>
        <w:t xml:space="preserve"> </w:t>
      </w:r>
      <w:r>
        <w:rPr>
          <w:rStyle w:val="VerbatimChar"/>
        </w:rPr>
        <w:t xml:space="preserve">PORTAL_MODE=private</w:t>
      </w:r>
      <w:r>
        <w:t xml:space="preserve"> </w:t>
      </w:r>
      <w:r>
        <w:t xml:space="preserve">is the</w:t>
      </w:r>
      <w:r>
        <w:t xml:space="preserve"> </w:t>
      </w:r>
      <w:r>
        <w:t xml:space="preserve">accepted posture; changing it does not by itself commission an internet</w:t>
      </w:r>
      <w:r>
        <w:t xml:space="preserve"> </w:t>
      </w:r>
      <w:r>
        <w:t xml:space="preserve">portal, authentication provider or reverse proxy.</w:t>
      </w:r>
    </w:p>
    <w:p>
      <w:pPr>
        <w:pStyle w:val="BodyText"/>
      </w:pPr>
      <w:r>
        <w:t xml:space="preserve">The isolated documentation exporter sets a fictional profile and</w:t>
      </w:r>
      <w:r>
        <w:t xml:space="preserve"> </w:t>
      </w:r>
      <w:r>
        <w:t xml:space="preserve">unusable synthetic database origin only to read schemas; those values</w:t>
      </w:r>
      <w:r>
        <w:t xml:space="preserve"> </w:t>
      </w:r>
      <w:r>
        <w:t xml:space="preserve">are not deployment configuration. Keep deployment values in the intended</w:t>
      </w:r>
      <w:r>
        <w:t xml:space="preserve"> </w:t>
      </w:r>
      <w:r>
        <w:t xml:space="preserve">process/account scope. An already-running process does not automatically</w:t>
      </w:r>
      <w:r>
        <w:t xml:space="preserve"> </w:t>
      </w:r>
      <w:r>
        <w:t xml:space="preserve">inherit later environment edits.</w:t>
      </w:r>
    </w:p>
    <w:bookmarkEnd w:id="51"/>
    <w:bookmarkEnd w:id="52"/>
    <w:bookmarkStart w:id="63" w:name="api-and-integration-examples"/>
    <w:p>
      <w:pPr>
        <w:pStyle w:val="Heading2"/>
      </w:pPr>
      <w:r>
        <w:t xml:space="preserve">API and integration examples</w:t>
      </w:r>
    </w:p>
    <w:bookmarkStart w:id="54" w:name="native-command-example"/>
    <w:p>
      <w:pPr>
        <w:pStyle w:val="Heading3"/>
      </w:pPr>
      <w:r>
        <w:t xml:space="preserve">Native command example</w:t>
      </w:r>
    </w:p>
    <w:p>
      <w:pPr>
        <w:pStyle w:val="FirstParagraph"/>
      </w:pPr>
      <w:r>
        <w:t xml:space="preserve">The following JavaScript belongs in the existing trusted Townlight</w:t>
      </w:r>
      <w:r>
        <w:t xml:space="preserve"> </w:t>
      </w:r>
      <w:r>
        <w:t xml:space="preserve">frontend/development environment with</w:t>
      </w:r>
      <w:r>
        <w:t xml:space="preserve"> </w:t>
      </w:r>
      <w:r>
        <w:rPr>
          <w:rStyle w:val="VerbatimChar"/>
        </w:rPr>
        <w:t xml:space="preserve">invoke</w:t>
      </w:r>
      <w:r>
        <w:t xml:space="preserve"> </w:t>
      </w:r>
      <w:r>
        <w:t xml:space="preserve">imported from</w:t>
      </w:r>
      <w:r>
        <w:t xml:space="preserve"> </w:t>
      </w:r>
      <w:r>
        <w:rPr>
          <w:rStyle w:val="VerbatimChar"/>
        </w:rPr>
        <w:t xml:space="preserve">@tauri-apps/api/core</w:t>
      </w:r>
      <w:r>
        <w:t xml:space="preserve">. It is not a command for an arbitrary</w:t>
      </w:r>
      <w:r>
        <w:t xml:space="preserve"> </w:t>
      </w:r>
      <w:r>
        <w:t xml:space="preserve">web page or an instruction for nontechnical staff. IDs must come from</w:t>
      </w:r>
      <w:r>
        <w:t xml:space="preserve"> </w:t>
      </w:r>
      <w:r>
        <w:t xml:space="preserve">records created in an isolated synthetic exercise.</w:t>
      </w:r>
    </w:p>
    <w:bookmarkStart w:id="53" w:name="cb4"/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{ invoke } </w:t>
      </w:r>
      <w:r>
        <w:rPr>
          <w:rStyle w:val="ImportTok"/>
        </w:rPr>
        <w:t xml:space="preserve">from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'@tauri-apps/api/core'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result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await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invoke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'get_app_state'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{})</w:t>
      </w:r>
      <w:r>
        <w:rPr>
          <w:rStyle w:val="OperatorTok"/>
        </w:rPr>
        <w:t xml:space="preserve">;</w:t>
      </w:r>
      <w:r>
        <w:br/>
      </w:r>
      <w:r>
        <w:rPr>
          <w:rStyle w:val="BuiltInTok"/>
        </w:rPr>
        <w:t xml:space="preserve">console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log</w:t>
      </w:r>
      <w:r>
        <w:rPr>
          <w:rStyle w:val="NormalTok"/>
        </w:rPr>
        <w:t xml:space="preserve">(result)</w:t>
      </w:r>
      <w:r>
        <w:rPr>
          <w:rStyle w:val="OperatorTok"/>
        </w:rPr>
        <w:t xml:space="preserve">;</w:t>
      </w:r>
    </w:p>
    <w:bookmarkEnd w:id="53"/>
    <w:bookmarkEnd w:id="54"/>
    <w:bookmarkStart w:id="56" w:name="trusted-local-http-example"/>
    <w:p>
      <w:pPr>
        <w:pStyle w:val="Heading3"/>
      </w:pPr>
      <w:r>
        <w:t xml:space="preserve">Trusted local HTTP example</w:t>
      </w:r>
    </w:p>
    <w:p>
      <w:pPr>
        <w:pStyle w:val="FirstParagraph"/>
      </w:pPr>
      <w:r>
        <w:t xml:space="preserve">An administrator/developer can inspect an already-configured isolated</w:t>
      </w:r>
      <w:r>
        <w:t xml:space="preserve"> </w:t>
      </w:r>
      <w:r>
        <w:t xml:space="preserve">runtime from a trusted local process. This PowerShell example reads the</w:t>
      </w:r>
      <w:r>
        <w:t xml:space="preserve"> </w:t>
      </w:r>
      <w:r>
        <w:t xml:space="preserve">signed-in synthetic profile’s existing proof into memory; it does not</w:t>
      </w:r>
      <w:r>
        <w:t xml:space="preserve"> </w:t>
      </w:r>
      <w:r>
        <w:t xml:space="preserve">create a user, seed a session, reveal the proof in output or bypass a</w:t>
      </w:r>
      <w:r>
        <w:t xml:space="preserve"> </w:t>
      </w:r>
      <w:r>
        <w:t xml:space="preserve">permission check. Do not use real city data in development examples. A</w:t>
      </w:r>
      <w:r>
        <w:t xml:space="preserve"> </w:t>
      </w:r>
      <w:r>
        <w:t xml:space="preserve">read response does not prove approval or publication.</w:t>
      </w:r>
    </w:p>
    <w:bookmarkStart w:id="55" w:name="cb5"/>
    <w:p>
      <w:pPr>
        <w:pStyle w:val="SourceCode"/>
      </w:pP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LOCALAPPDATA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'CivicSuite'</w:t>
      </w:r>
      <w:r>
        <w:br/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'config\local-session.json'</w:t>
      </w:r>
      <w:r>
        <w:br/>
      </w:r>
      <w:r>
        <w:rPr>
          <w:rStyle w:val="VariableTok"/>
        </w:rPr>
        <w:t xml:space="preserve">$session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Get-Content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LiteralPath </w:t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Raw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ConvertFrom-Json</w:t>
      </w:r>
      <w:r>
        <w:br/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'X-Townlight-Session'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$session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session_hash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StringTok"/>
        </w:rPr>
        <w:t xml:space="preserve">'http://127.0.0.1:15480/desktop/v1/suite/state'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br/>
      </w:r>
      <w:r>
        <w:rPr>
          <w:rStyle w:val="FunctionTok"/>
        </w:rPr>
        <w:t xml:space="preserve">Remove-Variable</w:t>
      </w:r>
      <w:r>
        <w:rPr>
          <w:rStyle w:val="NormalTok"/>
        </w:rPr>
        <w:t xml:space="preserve"> session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headers</w:t>
      </w:r>
    </w:p>
    <w:bookmarkEnd w:id="55"/>
    <w:bookmarkEnd w:id="56"/>
    <w:bookmarkStart w:id="58" w:name="Xc1e641ed528d4025c368f165cf10eb57eaf8eef"/>
    <w:p>
      <w:pPr>
        <w:pStyle w:val="Heading3"/>
      </w:pPr>
      <w:r>
        <w:t xml:space="preserve">A synthetic write</w:t>
      </w:r>
      <w:r>
        <w:t xml:space="preserve"> </w:t>
      </w:r>
      <w:r>
        <w:t xml:space="preserve">with subsequent readback</w:t>
      </w:r>
    </w:p>
    <w:p>
      <w:pPr>
        <w:pStyle w:val="FirstParagraph"/>
      </w:pPr>
      <w:r>
        <w:t xml:space="preserve">This example demonstrates the existing Meetings HTTP contract in an</w:t>
      </w:r>
      <w:r>
        <w:t xml:space="preserve"> </w:t>
      </w:r>
      <w:r>
        <w:t xml:space="preserve">isolated exercise. It is intentionally fictional. It does not start a</w:t>
      </w:r>
      <w:r>
        <w:t xml:space="preserve"> </w:t>
      </w:r>
      <w:r>
        <w:t xml:space="preserve">service. Its authentication setup is included so it can be run</w:t>
      </w:r>
      <w:r>
        <w:t xml:space="preserve"> </w:t>
      </w:r>
      <w:r>
        <w:t xml:space="preserve">independently under the signed-in synthetic account. If a write times</w:t>
      </w:r>
      <w:r>
        <w:t xml:space="preserve"> </w:t>
      </w:r>
      <w:r>
        <w:t xml:space="preserve">out, inspect current records before repeating it.</w:t>
      </w:r>
    </w:p>
    <w:bookmarkStart w:id="57" w:name="cb6"/>
    <w:p>
      <w:pPr>
        <w:pStyle w:val="SourceCode"/>
      </w:pP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$env</w:t>
      </w:r>
      <w:r>
        <w:rPr>
          <w:rStyle w:val="OperatorTok"/>
        </w:rPr>
        <w:t xml:space="preserve">:</w:t>
      </w:r>
      <w:r>
        <w:rPr>
          <w:rStyle w:val="VariableTok"/>
        </w:rPr>
        <w:t xml:space="preserve">LOCALAPPDATA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'CivicSuite'</w:t>
      </w:r>
      <w:r>
        <w:br/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Join-Path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$profilePath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'config/local-session.json'</w:t>
      </w:r>
      <w:r>
        <w:br/>
      </w:r>
      <w:r>
        <w:rPr>
          <w:rStyle w:val="VariableTok"/>
        </w:rPr>
        <w:t xml:space="preserve">$session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Get-Content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LiteralPath </w:t>
      </w:r>
      <w:r>
        <w:rPr>
          <w:rStyle w:val="VariableTok"/>
        </w:rPr>
        <w:t xml:space="preserve">$sessionPath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Raw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ConvertFrom-Json</w:t>
      </w:r>
      <w:r>
        <w:br/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'X-Townlight-Session'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$session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session_hash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}</w:t>
      </w:r>
      <w:r>
        <w:br/>
      </w:r>
      <w:r>
        <w:rPr>
          <w:rStyle w:val="VariableTok"/>
        </w:rPr>
        <w:t xml:space="preserve">$body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@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title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'Synthetic documentation exercise'</w:t>
      </w:r>
      <w:r>
        <w:br/>
      </w:r>
      <w:r>
        <w:rPr>
          <w:rStyle w:val="NormalTok"/>
        </w:rPr>
        <w:t xml:space="preserve">  scheduled_start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'2026-11-05T18:00:00-07:00'</w:t>
      </w:r>
      <w:r>
        <w:br/>
      </w:r>
      <w:r>
        <w:rPr>
          <w:rStyle w:val="NormalTok"/>
        </w:rPr>
        <w:t xml:space="preserve">  location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'Synthetic room'</w:t>
      </w:r>
      <w:r>
        <w:br/>
      </w:r>
      <w:r>
        <w:rPr>
          <w:rStyle w:val="NormalTok"/>
        </w:rPr>
        <w:t xml:space="preserve">  meeting_type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'regular'</w:t>
      </w:r>
      <w:r>
        <w:br/>
      </w:r>
      <w:r>
        <w:rPr>
          <w:rStyle w:val="OperatorTok"/>
        </w:rPr>
        <w:t xml:space="preserve">}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ConvertTo-Json</w:t>
      </w:r>
      <w:r>
        <w:br/>
      </w:r>
      <w:r>
        <w:rPr>
          <w:rStyle w:val="VariableTok"/>
        </w:rPr>
        <w:t xml:space="preserve">$meeting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Method Post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StringTok"/>
        </w:rPr>
        <w:t xml:space="preserve">'http://127.0.0.1:15480/desktop/v1/meetings/meetings'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ContentType </w:t>
      </w:r>
      <w:r>
        <w:rPr>
          <w:rStyle w:val="StringTok"/>
        </w:rPr>
        <w:t xml:space="preserve">'application/json'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Body </w:t>
      </w:r>
      <w:r>
        <w:rPr>
          <w:rStyle w:val="VariableTok"/>
        </w:rPr>
        <w:t xml:space="preserve">$body</w:t>
      </w:r>
      <w:r>
        <w:br/>
      </w:r>
      <w:r>
        <w:rPr>
          <w:rStyle w:val="FunctionTok"/>
        </w:rPr>
        <w:t xml:space="preserve">Invoke-RestMethod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Uri </w:t>
      </w:r>
      <w:r>
        <w:rPr>
          <w:rStyle w:val="OperatorTok"/>
        </w:rPr>
        <w:t xml:space="preserve">(</w:t>
      </w:r>
      <w:r>
        <w:rPr>
          <w:rStyle w:val="StringTok"/>
        </w:rPr>
        <w:t xml:space="preserve">'http://127.0.0.1:15480/desktop/v1/meetings/meetings/'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$meeting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id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`</w:t>
      </w:r>
      <w:r>
        <w:br/>
      </w:r>
      <w:r>
        <w:rPr>
          <w:rStyle w:val="NormalTok"/>
        </w:rPr>
        <w:t xml:space="preserve"> 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Headers </w:t>
      </w:r>
      <w:r>
        <w:rPr>
          <w:rStyle w:val="VariableTok"/>
        </w:rPr>
        <w:t xml:space="preserve">$headers</w:t>
      </w:r>
      <w:r>
        <w:br/>
      </w:r>
      <w:r>
        <w:rPr>
          <w:rStyle w:val="FunctionTok"/>
        </w:rPr>
        <w:t xml:space="preserve">Remove-Variable</w:t>
      </w:r>
      <w:r>
        <w:rPr>
          <w:rStyle w:val="NormalTok"/>
        </w:rPr>
        <w:t xml:space="preserve"> session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headers</w:t>
      </w:r>
    </w:p>
    <w:bookmarkEnd w:id="57"/>
    <w:p>
      <w:pPr>
        <w:pStyle w:val="FirstParagraph"/>
      </w:pPr>
      <w:r>
        <w:t xml:space="preserve">This write requires Meetings to be enabled and the signed-in staff</w:t>
      </w:r>
      <w:r>
        <w:t xml:space="preserve"> </w:t>
      </w:r>
      <w:r>
        <w:t xml:space="preserve">role to permit it. It is a cross-suite integration example; for this</w:t>
      </w:r>
      <w:r>
        <w:t xml:space="preserve"> </w:t>
      </w:r>
      <w:r>
        <w:t xml:space="preserve">product’s request models, use the complete technical reference</w:t>
      </w:r>
      <w:r>
        <w:t xml:space="preserve"> </w:t>
      </w:r>
      <w:r>
        <w:t xml:space="preserve">below.</w:t>
      </w:r>
    </w:p>
    <w:bookmarkEnd w:id="58"/>
    <w:bookmarkStart w:id="62" w:name="complete-technical-contract"/>
    <w:p>
      <w:pPr>
        <w:pStyle w:val="Heading3"/>
      </w:pPr>
      <w:r>
        <w:t xml:space="preserve">Complete technical contract</w:t>
      </w:r>
    </w:p>
    <w:p>
      <w:pPr>
        <w:pStyle w:val="FirstParagraph"/>
      </w:pPr>
      <w:r>
        <w:t xml:space="preserve">Read the</w:t>
      </w:r>
      <w:r>
        <w:t xml:space="preserve"> </w:t>
      </w:r>
      <w:hyperlink r:id="rId59">
        <w:r>
          <w:rPr>
            <w:rStyle w:val="Hyperlink"/>
          </w:rPr>
          <w:t xml:space="preserve">Core API reference</w:t>
        </w:r>
      </w:hyperlink>
      <w:r>
        <w:t xml:space="preserve"> </w:t>
      </w:r>
      <w:r>
        <w:t xml:space="preserve">for every documented operation, request field, constraint, response</w:t>
      </w:r>
      <w:r>
        <w:t xml:space="preserve"> </w:t>
      </w:r>
      <w:r>
        <w:t xml:space="preserve">declaration and source supplement. Download the</w:t>
      </w:r>
      <w:r>
        <w:t xml:space="preserve"> </w:t>
      </w:r>
      <w:hyperlink r:id="rId60">
        <w:r>
          <w:rPr>
            <w:rStyle w:val="Hyperlink"/>
          </w:rPr>
          <w:t xml:space="preserve">OpenAPI JSON</w:t>
        </w:r>
      </w:hyperlink>
      <w:r>
        <w:t xml:space="preserve"> </w:t>
      </w:r>
      <w:r>
        <w:t xml:space="preserve">for tools. For</w:t>
      </w:r>
      <w:r>
        <w:t xml:space="preserve"> </w:t>
      </w:r>
      <w:r>
        <w:t xml:space="preserve">Station this is the suite-side schema only; its separate service</w:t>
      </w:r>
      <w:r>
        <w:t xml:space="preserve"> </w:t>
      </w:r>
      <w:r>
        <w:t xml:space="preserve">contract is documented in the API supplement. The</w:t>
      </w:r>
      <w:r>
        <w:t xml:space="preserve"> </w:t>
      </w:r>
      <w:hyperlink r:id="rId61">
        <w:r>
          <w:rPr>
            <w:rStyle w:val="Hyperlink"/>
          </w:rPr>
          <w:t xml:space="preserve">reference directory</w:t>
        </w:r>
      </w:hyperlink>
      <w:r>
        <w:t xml:space="preserve"> </w:t>
      </w:r>
      <w:r>
        <w:t xml:space="preserve">includes</w:t>
      </w:r>
      <w:r>
        <w:t xml:space="preserve"> </w:t>
      </w:r>
      <w:r>
        <w:t xml:space="preserve">configuration/source inventories, dependency declarations, native</w:t>
      </w:r>
      <w:r>
        <w:t xml:space="preserve"> </w:t>
      </w:r>
      <w:r>
        <w:t xml:space="preserve">command contracts, MCP signatures and candidate evidence.</w:t>
      </w:r>
    </w:p>
    <w:bookmarkEnd w:id="62"/>
    <w:bookmarkEnd w:id="63"/>
    <w:bookmarkStart w:id="66" w:name="mcp-and-automation-boundary"/>
    <w:p>
      <w:pPr>
        <w:pStyle w:val="Heading2"/>
      </w:pPr>
      <w:r>
        <w:t xml:space="preserve">MCP and automation boundary</w:t>
      </w:r>
    </w:p>
    <w:p>
      <w:pPr>
        <w:pStyle w:val="FirstParagraph"/>
      </w:pPr>
      <w:r>
        <w:t xml:space="preserve">No direct product MCP server is exposed by the accepted Townlight</w:t>
      </w:r>
      <w:r>
        <w:t xml:space="preserve"> </w:t>
      </w:r>
      <w:r>
        <w:t xml:space="preserve">desktop or Station boundary. Do not configure an invented</w:t>
      </w:r>
      <w:r>
        <w:t xml:space="preserve"> </w:t>
      </w:r>
      <w:r>
        <w:rPr>
          <w:rStyle w:val="VerbatimChar"/>
        </w:rPr>
        <w:t xml:space="preserve">townlight mcp</w:t>
      </w:r>
      <w:r>
        <w:t xml:space="preserve"> </w:t>
      </w:r>
      <w:r>
        <w:t xml:space="preserve">command or assume an AI client has staff</w:t>
      </w:r>
      <w:r>
        <w:t xml:space="preserve"> </w:t>
      </w:r>
      <w:r>
        <w:t xml:space="preserve">permissions. The integration surfaces for this beta are native IPC, the</w:t>
      </w:r>
      <w:r>
        <w:t xml:space="preserve"> </w:t>
      </w:r>
      <w:r>
        <w:t xml:space="preserve">documented HTTP APIs, source bundle imports, exact exports and the</w:t>
      </w:r>
      <w:r>
        <w:t xml:space="preserve"> </w:t>
      </w:r>
      <w:r>
        <w:t xml:space="preserve">existing Station CLI.</w:t>
      </w:r>
    </w:p>
    <w:p>
      <w:pPr>
        <w:pStyle w:val="BodyText"/>
      </w:pPr>
      <w:r>
        <w:t xml:space="preserve">The bundled transcription code includes a</w:t>
      </w:r>
      <w:r>
        <w:t xml:space="preserve"> </w:t>
      </w:r>
      <w:r>
        <w:rPr>
          <w:b/>
          <w:bCs/>
        </w:rPr>
        <w:t xml:space="preserve">TextFlowKit MCP</w:t>
      </w:r>
      <w:r>
        <w:rPr>
          <w:b/>
          <w:bCs/>
        </w:rPr>
        <w:t xml:space="preserve"> </w:t>
      </w:r>
      <w:r>
        <w:rPr>
          <w:b/>
          <w:bCs/>
        </w:rPr>
        <w:t xml:space="preserve">adapter</w:t>
      </w:r>
      <w:r>
        <w:t xml:space="preserve"> </w:t>
      </w:r>
      <w:r>
        <w:t xml:space="preserve">as a separate source capability. It offers job-based</w:t>
      </w:r>
      <w:r>
        <w:t xml:space="preserve"> </w:t>
      </w:r>
      <w:r>
        <w:rPr>
          <w:rStyle w:val="VerbatimChar"/>
        </w:rPr>
        <w:t xml:space="preserve">transcribe_media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get_transcript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list_jobs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get_job_status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export_transcript</w:t>
      </w:r>
      <w:r>
        <w:t xml:space="preserve">, and additional tools declared in that</w:t>
      </w:r>
      <w:r>
        <w:t xml:space="preserve"> </w:t>
      </w:r>
      <w:r>
        <w:t xml:space="preserve">adapter. It uses stdio first and optional Streamable HTTP, with the MCP</w:t>
      </w:r>
      <w:r>
        <w:t xml:space="preserve"> </w:t>
      </w:r>
      <w:r>
        <w:t xml:space="preserve">SDK as an optional extra. It is not automatically launched,</w:t>
      </w:r>
      <w:r>
        <w:t xml:space="preserve"> </w:t>
      </w:r>
      <w:r>
        <w:t xml:space="preserve">authenticated as Townlight staff or accepted as a Townlight product MCP</w:t>
      </w:r>
      <w:r>
        <w:t xml:space="preserve"> </w:t>
      </w:r>
      <w:r>
        <w:t xml:space="preserve">deployment. This documentation does not add such a service.</w:t>
      </w:r>
    </w:p>
    <w:p>
      <w:pPr>
        <w:pStyle w:val="BodyText"/>
      </w:pPr>
      <w:r>
        <w:t xml:space="preserve">For a transcription client already provisioned separately, an</w:t>
      </w:r>
      <w:r>
        <w:t xml:space="preserve"> </w:t>
      </w:r>
      <w:r>
        <w:t xml:space="preserve">illustrative tool call is:</w:t>
      </w:r>
    </w:p>
    <w:bookmarkStart w:id="64" w:name="cb7"/>
    <w:p>
      <w:pPr>
        <w:pStyle w:val="SourceCode"/>
      </w:pPr>
      <w:r>
        <w:rPr>
          <w:rStyle w:val="FunctionTok"/>
        </w:rPr>
        <w:t xml:space="preserve">{</w:t>
      </w:r>
      <w:r>
        <w:rPr>
          <w:rStyle w:val="DataTypeTok"/>
        </w:rPr>
        <w:t xml:space="preserve">"name"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"get_job_status"</w:t>
      </w:r>
      <w:r>
        <w:rPr>
          <w:rStyle w:val="FunctionTok"/>
        </w:rPr>
        <w:t xml:space="preserve">,</w:t>
      </w:r>
      <w:r>
        <w:rPr>
          <w:rStyle w:val="DataTypeTok"/>
        </w:rPr>
        <w:t xml:space="preserve">"arguments"</w:t>
      </w:r>
      <w:r>
        <w:rPr>
          <w:rStyle w:val="FunctionTok"/>
        </w:rPr>
        <w:t xml:space="preserve">:{</w:t>
      </w:r>
      <w:r>
        <w:rPr>
          <w:rStyle w:val="DataTypeTok"/>
        </w:rPr>
        <w:t xml:space="preserve">"job_id"</w:t>
      </w:r>
      <w:r>
        <w:rPr>
          <w:rStyle w:val="FunctionTok"/>
        </w:rPr>
        <w:t xml:space="preserve">:</w:t>
      </w:r>
      <w:r>
        <w:rPr>
          <w:rStyle w:val="StringTok"/>
        </w:rPr>
        <w:t xml:space="preserve">"synthetic-existing-job-id"</w:t>
      </w:r>
      <w:r>
        <w:rPr>
          <w:rStyle w:val="FunctionTok"/>
        </w:rPr>
        <w:t xml:space="preserve">}}</w:t>
      </w:r>
    </w:p>
    <w:bookmarkEnd w:id="64"/>
    <w:p>
      <w:pPr>
        <w:pStyle w:val="FirstParagraph"/>
      </w:pPr>
      <w:r>
        <w:t xml:space="preserve">Use a job ID returned by that transcription service. This example</w:t>
      </w:r>
      <w:r>
        <w:t xml:space="preserve"> </w:t>
      </w:r>
      <w:r>
        <w:t xml:space="preserve">does not create a Townlight record or bypass its review/Records handoff.</w:t>
      </w:r>
      <w:r>
        <w:t xml:space="preserve"> </w:t>
      </w:r>
      <w:r>
        <w:t xml:space="preserve">The exact optional adapter tool signatures are supplied in the</w:t>
      </w:r>
      <w:r>
        <w:t xml:space="preserve"> </w:t>
      </w:r>
      <w:hyperlink r:id="rId65">
        <w:r>
          <w:rPr>
            <w:rStyle w:val="Hyperlink"/>
          </w:rPr>
          <w:t xml:space="preserve">MCP source reference</w:t>
        </w:r>
      </w:hyperlink>
      <w:r>
        <w:t xml:space="preserve">. Station</w:t>
      </w:r>
      <w:r>
        <w:t xml:space="preserve"> </w:t>
      </w:r>
      <w:r>
        <w:t xml:space="preserve">meeting capture does not become live speech recognition because this</w:t>
      </w:r>
      <w:r>
        <w:t xml:space="preserve"> </w:t>
      </w:r>
      <w:r>
        <w:t xml:space="preserve">optional donor adapter exists.</w:t>
      </w:r>
    </w:p>
    <w:bookmarkEnd w:id="66"/>
    <w:bookmarkStart w:id="67" w:name="security-and-permissions"/>
    <w:p>
      <w:pPr>
        <w:pStyle w:val="Heading2"/>
      </w:pPr>
      <w:r>
        <w:t xml:space="preserve">Security and permissions</w:t>
      </w:r>
    </w:p>
    <w:p>
      <w:pPr>
        <w:pStyle w:val="FirstParagraph"/>
      </w:pPr>
      <w:r>
        <w:t xml:space="preserve">Use your own named account and save before leaving a screen. A saved</w:t>
      </w:r>
      <w:r>
        <w:t xml:space="preserve"> </w:t>
      </w:r>
      <w:r>
        <w:t xml:space="preserve">draft is durable; unsaved form text may not be. If a write has an</w:t>
      </w:r>
      <w:r>
        <w:t xml:space="preserve"> </w:t>
      </w:r>
      <w:r>
        <w:t xml:space="preserve">unknown result, reopen its record before repeating it.</w:t>
      </w:r>
    </w:p>
    <w:p>
      <w:pPr>
        <w:pStyle w:val="BodyText"/>
      </w:pPr>
      <w:r>
        <w:t xml:space="preserve">Read source jurisdiction, dates, citation, version and visibility. A</w:t>
      </w:r>
      <w:r>
        <w:t xml:space="preserve"> </w:t>
      </w:r>
      <w:r>
        <w:t xml:space="preserve">copied source hash identifies exact bytes, not their legal</w:t>
      </w:r>
      <w:r>
        <w:t xml:space="preserve"> </w:t>
      </w:r>
      <w:r>
        <w:t xml:space="preserve">applicability. If a source changes or permission is removed, resolve the</w:t>
      </w:r>
      <w:r>
        <w:t xml:space="preserve"> </w:t>
      </w:r>
      <w:r>
        <w:t xml:space="preserve">source problem rather than substituting stale cached content.</w:t>
      </w:r>
    </w:p>
    <w:p>
      <w:pPr>
        <w:pStyle w:val="BodyText"/>
      </w:pPr>
      <w:r>
        <w:t xml:space="preserve">Keep originals and derivatives separate. Review the intended audience</w:t>
      </w:r>
      <w:r>
        <w:t xml:space="preserve"> </w:t>
      </w:r>
      <w:r>
        <w:t xml:space="preserve">before export. A public summary excludes private fields only through the</w:t>
      </w:r>
      <w:r>
        <w:t xml:space="preserve"> </w:t>
      </w:r>
      <w:r>
        <w:t xml:space="preserve">applicable copy contract and your review. A renamed private packet is</w:t>
      </w:r>
      <w:r>
        <w:t xml:space="preserve"> </w:t>
      </w:r>
      <w:r>
        <w:t xml:space="preserve">still private content.</w:t>
      </w:r>
    </w:p>
    <w:p>
      <w:pPr>
        <w:pStyle w:val="BodyText"/>
      </w:pPr>
      <w:r>
        <w:t xml:space="preserve">Drafting, review, approval, attachment, export, fulfillment and</w:t>
      </w:r>
      <w:r>
        <w:t xml:space="preserve"> </w:t>
      </w:r>
      <w:r>
        <w:t xml:space="preserve">publication are separate operations. A Townlight workpaper does not</w:t>
      </w:r>
      <w:r>
        <w:t xml:space="preserve"> </w:t>
      </w:r>
      <w:r>
        <w:t xml:space="preserve">itself adopt law, issue a permit, impose a fine or release a records</w:t>
      </w:r>
      <w:r>
        <w:t xml:space="preserve"> </w:t>
      </w:r>
      <w:r>
        <w:t xml:space="preserve">response. The responsible staff member records the applicable</w:t>
      </w:r>
      <w:r>
        <w:t xml:space="preserve"> </w:t>
      </w:r>
      <w:r>
        <w:t xml:space="preserve">decision.</w:t>
      </w:r>
    </w:p>
    <w:p>
      <w:pPr>
        <w:pStyle w:val="BodyText"/>
      </w:pPr>
      <w:r>
        <w:t xml:space="preserve">The native session is validated and mapped to a persisted SQL</w:t>
      </w:r>
      <w:r>
        <w:t xml:space="preserve"> </w:t>
      </w:r>
      <w:r>
        <w:t xml:space="preserve">identity. An editable actor/reviewer label is not authentication.</w:t>
      </w:r>
      <w:r>
        <w:t xml:space="preserve"> </w:t>
      </w:r>
      <w:r>
        <w:t xml:space="preserve">Product/module permissions and source visibility apply at the server</w:t>
      </w:r>
      <w:r>
        <w:t xml:space="preserve"> </w:t>
      </w:r>
      <w:r>
        <w:t xml:space="preserve">boundary. Revoked/unavailable authority fails closed for new Station</w:t>
      </w:r>
      <w:r>
        <w:t xml:space="preserve"> </w:t>
      </w:r>
      <w:r>
        <w:t xml:space="preserve">operations; a previous permission result is not a perpetual</w:t>
      </w:r>
      <w:r>
        <w:t xml:space="preserve"> </w:t>
      </w:r>
      <w:r>
        <w:t xml:space="preserve">authorization.</w:t>
      </w:r>
    </w:p>
    <w:p>
      <w:pPr>
        <w:pStyle w:val="BodyText"/>
      </w:pPr>
      <w:r>
        <w:t xml:space="preserve">Use protected local folders, account permissions and credential</w:t>
      </w:r>
      <w:r>
        <w:t xml:space="preserve"> </w:t>
      </w:r>
      <w:r>
        <w:t xml:space="preserve">storage. Never include the native session file, database passwords,</w:t>
      </w:r>
      <w:r>
        <w:t xml:space="preserve"> </w:t>
      </w:r>
      <w:r>
        <w:t xml:space="preserve">provider keys or unredacted support bundles in a public issue or</w:t>
      </w:r>
      <w:r>
        <w:t xml:space="preserve"> </w:t>
      </w:r>
      <w:r>
        <w:t xml:space="preserve">generated public documentation. A local public view is not automatically</w:t>
      </w:r>
      <w:r>
        <w:t xml:space="preserve"> </w:t>
      </w:r>
      <w:r>
        <w:t xml:space="preserve">a secured internet deployment. Keep network exposure and real equipment</w:t>
      </w:r>
      <w:r>
        <w:t xml:space="preserve"> </w:t>
      </w:r>
      <w:r>
        <w:t xml:space="preserve">acceptance specific to the chosen beta site.</w:t>
      </w:r>
    </w:p>
    <w:bookmarkEnd w:id="67"/>
    <w:bookmarkStart w:id="68" w:name="backup-recovery-and-maintenance"/>
    <w:p>
      <w:pPr>
        <w:pStyle w:val="Heading2"/>
      </w:pPr>
      <w:r>
        <w:t xml:space="preserve">Backup recovery and</w:t>
      </w:r>
      <w:r>
        <w:t xml:space="preserve"> </w:t>
      </w:r>
      <w:r>
        <w:t xml:space="preserve">maintenance</w:t>
      </w:r>
    </w:p>
    <w:p>
      <w:pPr>
        <w:pStyle w:val="FirstParagraph"/>
      </w:pPr>
      <w:r>
        <w:t xml:space="preserve">Save work and use Core’s canonical</w:t>
      </w:r>
      <w:r>
        <w:t xml:space="preserve"> </w:t>
      </w:r>
      <w:r>
        <w:rPr>
          <w:b/>
          <w:bCs/>
        </w:rPr>
        <w:t xml:space="preserve">Backup Now</w:t>
      </w:r>
      <w:r>
        <w:t xml:space="preserve"> </w:t>
      </w:r>
      <w:r>
        <w:t xml:space="preserve">before</w:t>
      </w:r>
      <w:r>
        <w:t xml:space="preserve"> </w:t>
      </w:r>
      <w:r>
        <w:t xml:space="preserve">maintenance. That operation stops writers. Preserve the coherent</w:t>
      </w:r>
      <w:r>
        <w:t xml:space="preserve"> </w:t>
      </w:r>
      <w:r>
        <w:t xml:space="preserve">profile/database/document backup and its receipt, then use</w:t>
      </w:r>
      <w:r>
        <w:t xml:space="preserve"> </w:t>
      </w:r>
      <w:r>
        <w:rPr>
          <w:b/>
          <w:bCs/>
        </w:rPr>
        <w:t xml:space="preserve">Start</w:t>
      </w:r>
      <w:r>
        <w:t xml:space="preserve"> </w:t>
      </w:r>
      <w:r>
        <w:t xml:space="preserve">to resume. A source export is not a full</w:t>
      </w:r>
      <w:r>
        <w:t xml:space="preserve"> </w:t>
      </w:r>
      <w:r>
        <w:t xml:space="preserve">backup.</w:t>
      </w:r>
    </w:p>
    <w:p>
      <w:pPr>
        <w:pStyle w:val="BodyText"/>
      </w:pPr>
      <w:r>
        <w:t xml:space="preserve">Use</w:t>
      </w:r>
      <w:r>
        <w:t xml:space="preserve"> </w:t>
      </w:r>
      <w:r>
        <w:rPr>
          <w:b/>
          <w:bCs/>
        </w:rPr>
        <w:t xml:space="preserve">Restore Latest Backup</w:t>
      </w:r>
      <w:r>
        <w:t xml:space="preserve"> </w:t>
      </w:r>
      <w:r>
        <w:t xml:space="preserve">through the supported</w:t>
      </w:r>
      <w:r>
        <w:t xml:space="preserve"> </w:t>
      </w:r>
      <w:r>
        <w:t xml:space="preserve">controls. If the result says</w:t>
      </w:r>
      <w:r>
        <w:t xml:space="preserve"> </w:t>
      </w:r>
      <w:r>
        <w:rPr>
          <w:b/>
          <w:bCs/>
        </w:rPr>
        <w:t xml:space="preserve">Restore needs service</w:t>
      </w:r>
      <w:r>
        <w:rPr>
          <w:b/>
          <w:bCs/>
        </w:rPr>
        <w:t xml:space="preserve"> </w:t>
      </w:r>
      <w:r>
        <w:rPr>
          <w:b/>
          <w:bCs/>
        </w:rPr>
        <w:t xml:space="preserve">start</w:t>
      </w:r>
      <w:r>
        <w:t xml:space="preserve">, use</w:t>
      </w:r>
      <w:r>
        <w:t xml:space="preserve"> </w:t>
      </w:r>
      <w:r>
        <w:rPr>
          <w:b/>
          <w:bCs/>
        </w:rPr>
        <w:t xml:space="preserve">Start</w:t>
      </w:r>
      <w:r>
        <w:t xml:space="preserve">, then</w:t>
      </w:r>
      <w:r>
        <w:t xml:space="preserve"> </w:t>
      </w:r>
      <w:r>
        <w:rPr>
          <w:b/>
          <w:bCs/>
        </w:rPr>
        <w:t xml:space="preserve">Check</w:t>
      </w:r>
      <w:r>
        <w:t xml:space="preserve">,</w:t>
      </w:r>
      <w:r>
        <w:t xml:space="preserve"> </w:t>
      </w:r>
      <w:r>
        <w:t xml:space="preserve">and reopen a known record. Do not repeat restore merely because services</w:t>
      </w:r>
      <w:r>
        <w:t xml:space="preserve"> </w:t>
      </w:r>
      <w:r>
        <w:t xml:space="preserve">need to start. The fresh-profile acceptance verified that a fulfilled</w:t>
      </w:r>
      <w:r>
        <w:t xml:space="preserve"> </w:t>
      </w:r>
      <w:r>
        <w:t xml:space="preserve">request survived restore and a post-backup marker did not.</w:t>
      </w:r>
    </w:p>
    <w:p>
      <w:pPr>
        <w:pStyle w:val="BodyText"/>
      </w:pPr>
      <w:r>
        <w:t xml:space="preserve">Keep Station’s dedicated database and media evidence together in its</w:t>
      </w:r>
      <w:r>
        <w:t xml:space="preserve"> </w:t>
      </w:r>
      <w:r>
        <w:t xml:space="preserve">own backup. Core’s native-profile backup must not be assumed to include</w:t>
      </w:r>
      <w:r>
        <w:t xml:space="preserve"> </w:t>
      </w:r>
      <w:r>
        <w:t xml:space="preserve">an external Station data directory. Stop writers during a coordinated</w:t>
      </w:r>
      <w:r>
        <w:t xml:space="preserve"> </w:t>
      </w:r>
      <w:r>
        <w:t xml:space="preserve">backup. Preserve failed media attempts and logs.</w:t>
      </w:r>
    </w:p>
    <w:p>
      <w:pPr>
        <w:pStyle w:val="BodyText"/>
      </w:pPr>
      <w:r>
        <w:t xml:space="preserve">On failure, record the time, selected composition,</w:t>
      </w:r>
      <w:r>
        <w:t xml:space="preserve"> </w:t>
      </w:r>
      <w:r>
        <w:t xml:space="preserve">component/installer versions and exact message. Check System Health for</w:t>
      </w:r>
      <w:r>
        <w:t xml:space="preserve"> </w:t>
      </w:r>
      <w:r>
        <w:t xml:space="preserve">stopped, starting, ready or failed dependencies. Use the existing Retry</w:t>
      </w:r>
      <w:r>
        <w:t xml:space="preserve"> </w:t>
      </w:r>
      <w:r>
        <w:t xml:space="preserve">control after readiness; do not create duplicate business records to</w:t>
      </w:r>
      <w:r>
        <w:t xml:space="preserve"> </w:t>
      </w:r>
      <w:r>
        <w:t xml:space="preserve">refresh a stale view. Share only a redacted diagnostic bundle. Preserve</w:t>
      </w:r>
      <w:r>
        <w:t xml:space="preserve"> </w:t>
      </w:r>
      <w:r>
        <w:t xml:space="preserve">secrets, original evidence, recovery material and unrelated</w:t>
      </w:r>
      <w:r>
        <w:t xml:space="preserve"> </w:t>
      </w:r>
      <w:r>
        <w:t xml:space="preserve">installations.</w:t>
      </w:r>
    </w:p>
    <w:bookmarkEnd w:id="68"/>
    <w:bookmarkStart w:id="69" w:name="troubleshooting"/>
    <w:p>
      <w:pPr>
        <w:pStyle w:val="Heading2"/>
      </w:pPr>
      <w:r>
        <w:t xml:space="preserve">Troubleshooting</w:t>
      </w:r>
    </w:p>
    <w:tbl>
      <w:tblPr>
        <w:tblStyle w:val="Table"/>
        <w:tblW w:type="pct" w:w="4950"/>
        <w:tblLayout w:type="fixed"/>
        <w:tblLook w:firstRow="1" w:lastRow="0" w:firstColumn="0" w:lastColumn="0" w:noHBand="0" w:noVBand="0" w:val="0020"/>
      </w:tblPr>
      <w:tblGrid>
        <w:gridCol w:w="2613"/>
        <w:gridCol w:w="2613"/>
        <w:gridCol w:w="261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Symptom</w:t>
            </w:r>
          </w:p>
        </w:tc>
        <w:tc>
          <w:tcPr/>
          <w:p>
            <w:pPr>
              <w:pStyle w:val="Compact"/>
            </w:pPr>
            <w:r>
              <w:t xml:space="preserve">Likely meaning</w:t>
            </w:r>
          </w:p>
        </w:tc>
        <w:tc>
          <w:tcPr/>
          <w:p>
            <w:pPr>
              <w:pStyle w:val="Compact"/>
            </w:pPr>
            <w:r>
              <w:t xml:space="preserve">Next action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Workspace absent</w:t>
            </w:r>
          </w:p>
        </w:tc>
        <w:tc>
          <w:tcPr/>
          <w:p>
            <w:pPr>
              <w:pStyle w:val="Compact"/>
            </w:pPr>
            <w:r>
              <w:t xml:space="preserve">Wrong product composition or unavailable canonical runtime.</w:t>
            </w:r>
          </w:p>
        </w:tc>
        <w:tc>
          <w:tcPr/>
          <w:p>
            <w:pPr>
              <w:pStyle w:val="Compact"/>
            </w:pPr>
            <w:r>
              <w:t xml:space="preserve">Check selected composition; activate through Finish Records</w:t>
            </w:r>
            <w:r>
              <w:t xml:space="preserve"> </w:t>
            </w:r>
            <w:r>
              <w:t xml:space="preserve">Migration; wait for readiness.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Cannot sign in / 401</w:t>
            </w:r>
          </w:p>
        </w:tc>
        <w:tc>
          <w:tcPr/>
          <w:p>
            <w:pPr>
              <w:pStyle w:val="Compact"/>
            </w:pPr>
            <w:r>
              <w:t xml:space="preserve">Missing or expired named account session.</w:t>
            </w:r>
          </w:p>
        </w:tc>
        <w:tc>
          <w:tcPr/>
          <w:p>
            <w:pPr>
              <w:pStyle w:val="Compact"/>
            </w:pPr>
            <w:r>
              <w:t xml:space="preserve">Sign in normally; reopen a Station launch ticket if applicable.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Permission denied / 403</w:t>
            </w:r>
          </w:p>
        </w:tc>
        <w:tc>
          <w:tcPr/>
          <w:p>
            <w:pPr>
              <w:pStyle w:val="Compact"/>
            </w:pPr>
            <w:r>
              <w:t xml:space="preserve">Account, module, source or browser-origin permission.</w:t>
            </w:r>
          </w:p>
        </w:tc>
        <w:tc>
          <w:tcPr/>
          <w:p>
            <w:pPr>
              <w:pStyle w:val="Compact"/>
            </w:pPr>
            <w:r>
              <w:t xml:space="preserve">Ask the authorized administrator to inspect the intended permission;</w:t>
            </w:r>
            <w:r>
              <w:t xml:space="preserve"> </w:t>
            </w:r>
            <w:r>
              <w:t xml:space="preserve">do not invent role headers.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Save conflict / 409</w:t>
            </w:r>
          </w:p>
        </w:tc>
        <w:tc>
          <w:tcPr/>
          <w:p>
            <w:pPr>
              <w:pStyle w:val="Compact"/>
            </w:pPr>
            <w:r>
              <w:t xml:space="preserve">The saved revision, expected source hash or lifecycle changed.</w:t>
            </w:r>
          </w:p>
        </w:tc>
        <w:tc>
          <w:tcPr/>
          <w:p>
            <w:pPr>
              <w:pStyle w:val="Compact"/>
            </w:pPr>
            <w:r>
              <w:t xml:space="preserve">Keep edits, reopen current state and reconcile deliberately.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Invalid input / 422</w:t>
            </w:r>
          </w:p>
        </w:tc>
        <w:tc>
          <w:tcPr/>
          <w:p>
            <w:pPr>
              <w:pStyle w:val="Compact"/>
            </w:pPr>
            <w:r>
              <w:t xml:space="preserve">Required field, format, geometry, source envelope or state is</w:t>
            </w:r>
            <w:r>
              <w:t xml:space="preserve"> </w:t>
            </w:r>
            <w:r>
              <w:t xml:space="preserve">invalid.</w:t>
            </w:r>
          </w:p>
        </w:tc>
        <w:tc>
          <w:tcPr/>
          <w:p>
            <w:pPr>
              <w:pStyle w:val="Compact"/>
            </w:pPr>
            <w:r>
              <w:t xml:space="preserve">Read the field detail and correct the input/source; preserve</w:t>
            </w:r>
            <w:r>
              <w:t xml:space="preserve"> </w:t>
            </w:r>
            <w:r>
              <w:t xml:space="preserve">originals.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Service unavailable / 503</w:t>
            </w:r>
          </w:p>
        </w:tc>
        <w:tc>
          <w:tcPr/>
          <w:p>
            <w:pPr>
              <w:pStyle w:val="Compact"/>
            </w:pPr>
            <w:r>
              <w:t xml:space="preserve">Database, schema, connected source or configuration</w:t>
            </w:r>
            <w:r>
              <w:t xml:space="preserve"> </w:t>
            </w:r>
            <w:r>
              <w:t xml:space="preserve">unavailable.</w:t>
            </w:r>
          </w:p>
        </w:tc>
        <w:tc>
          <w:tcPr/>
          <w:p>
            <w:pPr>
              <w:pStyle w:val="Compact"/>
            </w:pPr>
            <w:r>
              <w:t xml:space="preserve">Inspect System Health and the named dependency. Preserve work; retry</w:t>
            </w:r>
            <w:r>
              <w:t xml:space="preserve"> </w:t>
            </w:r>
            <w:r>
              <w:t xml:space="preserve">only after readiness.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Export refused</w:t>
            </w:r>
          </w:p>
        </w:tc>
        <w:tc>
          <w:tcPr/>
          <w:p>
            <w:pPr>
              <w:pStyle w:val="Compact"/>
            </w:pPr>
            <w:r>
              <w:t xml:space="preserve">Missing exact review, approval, audience or source</w:t>
            </w:r>
            <w:r>
              <w:t xml:space="preserve"> </w:t>
            </w:r>
            <w:r>
              <w:t xml:space="preserve">authorization.</w:t>
            </w:r>
          </w:p>
        </w:tc>
        <w:tc>
          <w:tcPr/>
          <w:p>
            <w:pPr>
              <w:pStyle w:val="Compact"/>
            </w:pPr>
            <w:r>
              <w:t xml:space="preserve">Read the refusal and complete the owning product’s explicit</w:t>
            </w:r>
            <w:r>
              <w:t xml:space="preserve"> </w:t>
            </w:r>
            <w:r>
              <w:t xml:space="preserve">decision.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Restore needs service start</w:t>
            </w:r>
          </w:p>
        </w:tc>
        <w:tc>
          <w:tcPr/>
          <w:p>
            <w:pPr>
              <w:pStyle w:val="Compact"/>
            </w:pPr>
            <w:r>
              <w:t xml:space="preserve">The snapshot was restored but services have not resumed.</w:t>
            </w:r>
          </w:p>
        </w:tc>
        <w:tc>
          <w:tcPr/>
          <w:p>
            <w:pPr>
              <w:pStyle w:val="Compact"/>
            </w:pPr>
            <w:r>
              <w:t xml:space="preserve">Use Start, then Check and verify a saved record; do not blindly</w:t>
            </w:r>
            <w:r>
              <w:t xml:space="preserve"> </w:t>
            </w:r>
            <w:r>
              <w:t xml:space="preserve">repeat restore.</w:t>
            </w:r>
          </w:p>
        </w:tc>
      </w:tr>
    </w:tbl>
    <w:bookmarkEnd w:id="69"/>
    <w:bookmarkStart w:id="71" w:name="verified-workflows-and-limits"/>
    <w:p>
      <w:pPr>
        <w:pStyle w:val="Heading2"/>
      </w:pPr>
      <w:r>
        <w:t xml:space="preserve">Verified workflows and</w:t>
      </w:r>
      <w:r>
        <w:t xml:space="preserve"> </w:t>
      </w:r>
      <w:r>
        <w:t xml:space="preserve">limits</w:t>
      </w:r>
    </w:p>
    <w:tbl>
      <w:tblPr>
        <w:tblStyle w:val="Table"/>
        <w:tblW w:type="pct" w:w="4950"/>
        <w:tblLayout w:type="fixed"/>
        <w:tblLook w:firstRow="1" w:lastRow="0" w:firstColumn="0" w:lastColumn="0" w:noHBand="0" w:noVBand="0" w:val="0020"/>
      </w:tblPr>
      <w:tblGrid>
        <w:gridCol w:w="2613"/>
        <w:gridCol w:w="2613"/>
        <w:gridCol w:w="261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Product</w:t>
            </w:r>
          </w:p>
        </w:tc>
        <w:tc>
          <w:tcPr/>
          <w:p>
            <w:pPr>
              <w:pStyle w:val="Compact"/>
            </w:pPr>
            <w:r>
              <w:t xml:space="preserve">Recorded result</w:t>
            </w:r>
          </w:p>
        </w:tc>
        <w:tc>
          <w:tcPr/>
          <w:p>
            <w:pPr>
              <w:pStyle w:val="Compact"/>
            </w:pPr>
            <w:r>
              <w:t xml:space="preserve">Precisely exercised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Core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  <w:tc>
          <w:tcPr/>
          <w:p>
            <w:pPr>
              <w:pStyle w:val="Compact"/>
            </w:pPr>
            <w:r>
              <w:t xml:space="preserve">Normal empty-profile setup; canonical activation; UI-created staff</w:t>
            </w:r>
            <w:r>
              <w:t xml:space="preserve"> </w:t>
            </w:r>
            <w:r>
              <w:t xml:space="preserve">and sign-in; staff denied user administration; coherent backup,</w:t>
            </w:r>
            <w:r>
              <w:t xml:space="preserve"> </w:t>
            </w:r>
            <w:r>
              <w:t xml:space="preserve">mutation, restore, Start/Check and retained/absent record readback.</w:t>
            </w:r>
          </w:p>
        </w:tc>
      </w:tr>
    </w:tbl>
    <w:p>
      <w:pPr>
        <w:pStyle w:val="BodyText"/>
      </w:pPr>
      <w:r>
        <w:t xml:space="preserve">These results come from the identified signed candidate’s fresh</w:t>
      </w:r>
      <w:r>
        <w:t xml:space="preserve"> </w:t>
      </w:r>
      <w:r>
        <w:t xml:space="preserve">normal-profile Sandbox exercise: real native IPC/HTTP/PostgreSQL and</w:t>
      </w:r>
      <w:r>
        <w:t xml:space="preserve"> </w:t>
      </w:r>
      <w:r>
        <w:t xml:space="preserve">selected headless controls. All accounts, source bundles and media were</w:t>
      </w:r>
      <w:r>
        <w:t xml:space="preserve"> </w:t>
      </w:r>
      <w:r>
        <w:t xml:space="preserve">synthetic. The guest install/uninstall and recovery passed, and the</w:t>
      </w:r>
      <w:r>
        <w:t xml:space="preserve"> </w:t>
      </w:r>
      <w:r>
        <w:t xml:space="preserve">owned Sandbox stopped. No host installed application or standalone</w:t>
      </w:r>
      <w:r>
        <w:t xml:space="preserve"> </w:t>
      </w:r>
      <w:r>
        <w:t xml:space="preserve">CivicCast was changed. This documentation task reuses those receipts; it</w:t>
      </w:r>
      <w:r>
        <w:t xml:space="preserve"> </w:t>
      </w:r>
      <w:r>
        <w:t xml:space="preserve">does not claim a new software acceptance run.</w:t>
      </w:r>
    </w:p>
    <w:p>
      <w:pPr>
        <w:pStyle w:val="BodyText"/>
      </w:pPr>
      <w:r>
        <w:t xml:space="preserve">See the</w:t>
      </w:r>
      <w:r>
        <w:t xml:space="preserve"> </w:t>
      </w:r>
      <w:hyperlink r:id="rId13">
        <w:r>
          <w:rPr>
            <w:rStyle w:val="Hyperlink"/>
          </w:rPr>
          <w:t xml:space="preserve">Windows acceptance summary</w:t>
        </w:r>
      </w:hyperlink>
      <w:r>
        <w:t xml:space="preserve"> </w:t>
      </w:r>
      <w:r>
        <w:t xml:space="preserve">for this MSI. The historical</w:t>
      </w:r>
      <w:r>
        <w:t xml:space="preserve"> </w:t>
      </w:r>
      <w:hyperlink r:id="rId70">
        <w:r>
          <w:rPr>
            <w:rStyle w:val="Hyperlink"/>
          </w:rPr>
          <w:t xml:space="preserve">evidence index</w:t>
        </w:r>
      </w:hyperlink>
      <w:r>
        <w:t xml:space="preserve"> </w:t>
      </w:r>
      <w:r>
        <w:t xml:space="preserve">applies to its original build.</w:t>
      </w:r>
    </w:p>
    <w:p>
      <w:pPr>
        <w:pStyle w:val="BodyText"/>
      </w:pPr>
      <w:r>
        <w:t xml:space="preserve">The limits remain: actual city field acceptance and equipment/network</w:t>
      </w:r>
      <w:r>
        <w:t xml:space="preserve"> </w:t>
      </w:r>
      <w:r>
        <w:t xml:space="preserve">commissioning; Station automatic provisioning/SCM commissioning; every</w:t>
      </w:r>
      <w:r>
        <w:t xml:space="preserve"> </w:t>
      </w:r>
      <w:r>
        <w:t xml:space="preserve">UI/role combination; field recognition accuracy; and historical in-place</w:t>
      </w:r>
      <w:r>
        <w:t xml:space="preserve"> </w:t>
      </w:r>
      <w:r>
        <w:t xml:space="preserve">upgrades are not certified. They are not five invented feature</w:t>
      </w:r>
      <w:r>
        <w:t xml:space="preserve"> </w:t>
      </w:r>
      <w:r>
        <w:t xml:space="preserve">requirements. Fresh-install controlled beta handoff remains the accepted</w:t>
      </w:r>
      <w:r>
        <w:t xml:space="preserve"> </w:t>
      </w:r>
      <w:r>
        <w:t xml:space="preserve">scope. This package makes no city-deployment, publication or</w:t>
      </w:r>
      <w:r>
        <w:t xml:space="preserve"> </w:t>
      </w:r>
      <w:r>
        <w:t xml:space="preserve">general-availability claim.</w:t>
      </w:r>
    </w:p>
    <w:bookmarkEnd w:id="71"/>
    <w:bookmarkStart w:id="83" w:name="terms-of-service-and-license"/>
    <w:p>
      <w:pPr>
        <w:pStyle w:val="Heading2"/>
      </w:pPr>
      <w:r>
        <w:t xml:space="preserve">Terms of service and license</w:t>
      </w:r>
    </w:p>
    <w:bookmarkStart w:id="72" w:name="scope-and-status"/>
    <w:p>
      <w:pPr>
        <w:pStyle w:val="Heading3"/>
      </w:pPr>
      <w:r>
        <w:t xml:space="preserve">Scope and status</w:t>
      </w:r>
    </w:p>
    <w:p>
      <w:pPr>
        <w:pStyle w:val="FirstParagraph"/>
      </w:pPr>
      <w:r>
        <w:t xml:space="preserve">These terms describe the Townlight Beta 1 software and this</w:t>
      </w:r>
      <w:r>
        <w:t xml:space="preserve"> </w:t>
      </w:r>
      <w:r>
        <w:t xml:space="preserve">documentation package. This public Windows beta is for evaluation. No uptime commitment, support response time, indemnity,</w:t>
      </w:r>
      <w:r>
        <w:t xml:space="preserve"> </w:t>
      </w:r>
      <w:r>
        <w:t xml:space="preserve">data-processing agreement or paid service is created by these documents.</w:t>
      </w:r>
      <w:r>
        <w:t xml:space="preserve"> </w:t>
      </w:r>
      <w:r>
        <w:t xml:space="preserve">A separate signed agreement, if any, governs services it actually</w:t>
      </w:r>
      <w:r>
        <w:t xml:space="preserve"> </w:t>
      </w:r>
      <w:r>
        <w:t xml:space="preserve">provides.</w:t>
      </w:r>
    </w:p>
    <w:bookmarkEnd w:id="72"/>
    <w:bookmarkStart w:id="75" w:name="software-license-and-rights"/>
    <w:p>
      <w:pPr>
        <w:pStyle w:val="Heading3"/>
      </w:pPr>
      <w:r>
        <w:t xml:space="preserve">Software license and rights</w:t>
      </w:r>
    </w:p>
    <w:p>
      <w:pPr>
        <w:pStyle w:val="FirstParagraph"/>
      </w:pPr>
      <w:r>
        <w:t xml:space="preserve">Current Townlight-owned distributions identified in this candidate</w:t>
      </w:r>
      <w:r>
        <w:t xml:space="preserve"> </w:t>
      </w:r>
      <w:r>
        <w:t xml:space="preserve">use</w:t>
      </w:r>
      <w:r>
        <w:t xml:space="preserve"> </w:t>
      </w:r>
      <w:r>
        <w:rPr>
          <w:b/>
          <w:bCs/>
        </w:rPr>
        <w:t xml:space="preserve">AGPL-3.0-only</w:t>
      </w:r>
      <w:r>
        <w:t xml:space="preserve">. The full license is supplied with</w:t>
      </w:r>
      <w:r>
        <w:t xml:space="preserve"> </w:t>
      </w:r>
      <w:r>
        <w:t xml:space="preserve">this documentation and with the source companion. The license governs</w:t>
      </w:r>
      <w:r>
        <w:t xml:space="preserve"> </w:t>
      </w:r>
      <w:r>
        <w:t xml:space="preserve">rights to run, copy, modify and convey the covered software; these</w:t>
      </w:r>
      <w:r>
        <w:t xml:space="preserve"> </w:t>
      </w:r>
      <w:r>
        <w:t xml:space="preserve">operational terms do not add restrictions to those rights. Historical</w:t>
      </w:r>
      <w:r>
        <w:t xml:space="preserve"> </w:t>
      </w:r>
      <w:r>
        <w:t xml:space="preserve">grants and dependency licenses retain their own terms. CivicCast remains</w:t>
      </w:r>
      <w:r>
        <w:t xml:space="preserve"> </w:t>
      </w:r>
      <w:r>
        <w:t xml:space="preserve">a separate product and is not relicensed by this documentation work.</w:t>
      </w:r>
    </w:p>
    <w:p>
      <w:pPr>
        <w:pStyle w:val="BodyText"/>
      </w:pPr>
      <w:r>
        <w:t xml:space="preserve">When conveying covered software, retain applicable notices and</w:t>
      </w:r>
      <w:r>
        <w:t xml:space="preserve"> </w:t>
      </w:r>
      <w:r>
        <w:t xml:space="preserve">provide the corresponding source and installation/build information</w:t>
      </w:r>
      <w:r>
        <w:t xml:space="preserve"> </w:t>
      </w:r>
      <w:r>
        <w:t xml:space="preserve">required by the license. For a modified version supporting remote</w:t>
      </w:r>
      <w:r>
        <w:t xml:space="preserve"> </w:t>
      </w:r>
      <w:r>
        <w:t xml:space="preserve">network interaction, follow section 13’s source-offer requirement. The</w:t>
      </w:r>
      <w:r>
        <w:t xml:space="preserve"> </w:t>
      </w:r>
      <w:r>
        <w:t xml:space="preserve">companion archive identifies the source for this candidate; a link to a</w:t>
      </w:r>
      <w:r>
        <w:t xml:space="preserve"> </w:t>
      </w:r>
      <w:r>
        <w:t xml:space="preserve">different public branch is not a substitute for the matching source.</w:t>
      </w:r>
      <w:r>
        <w:t xml:space="preserve"> </w:t>
      </w:r>
      <w:r>
        <w:t xml:space="preserve">Read the supplied license for the complete conditions. See the</w:t>
      </w:r>
      <w:r>
        <w:t xml:space="preserve"> </w:t>
      </w:r>
      <w:hyperlink r:id="rId73">
        <w:r>
          <w:rPr>
            <w:rStyle w:val="Hyperlink"/>
          </w:rPr>
          <w:t xml:space="preserve">GNU license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reference</w:t>
        </w:r>
      </w:hyperlink>
      <w:r>
        <w:t xml:space="preserve"> </w:t>
      </w:r>
      <w:r>
        <w:t xml:space="preserve">and</w:t>
      </w:r>
      <w:r>
        <w:t xml:space="preserve"> </w:t>
      </w:r>
      <w:hyperlink r:id="rId74">
        <w:r>
          <w:rPr>
            <w:rStyle w:val="Hyperlink"/>
          </w:rPr>
          <w:t xml:space="preserve">GNU licensing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FAQ</w:t>
        </w:r>
      </w:hyperlink>
      <w:r>
        <w:t xml:space="preserve">.</w:t>
      </w:r>
    </w:p>
    <w:bookmarkEnd w:id="75"/>
    <w:bookmarkStart w:id="76" w:name="data-ownership-and-access"/>
    <w:p>
      <w:pPr>
        <w:pStyle w:val="Heading3"/>
      </w:pPr>
      <w:r>
        <w:t xml:space="preserve">Data ownership and access</w:t>
      </w:r>
    </w:p>
    <w:p>
      <w:pPr>
        <w:pStyle w:val="FirstParagraph"/>
      </w:pPr>
      <w:r>
        <w:t xml:space="preserve">Importing a document does not transfer its ownership or grant</w:t>
      </w:r>
      <w:r>
        <w:t xml:space="preserve"> </w:t>
      </w:r>
      <w:r>
        <w:t xml:space="preserve">permission to publish it. The operating organization controls its</w:t>
      </w:r>
      <w:r>
        <w:t xml:space="preserve"> </w:t>
      </w:r>
      <w:r>
        <w:t xml:space="preserve">accounts, access decisions, lawful source use, retention and</w:t>
      </w:r>
      <w:r>
        <w:t xml:space="preserve"> </w:t>
      </w:r>
      <w:r>
        <w:t xml:space="preserve">review/release policy. Keep resident information, credentials, private</w:t>
      </w:r>
      <w:r>
        <w:t xml:space="preserve"> </w:t>
      </w:r>
      <w:r>
        <w:t xml:space="preserve">notes and restricted evidence in their authorized locations.</w:t>
      </w:r>
      <w:r>
        <w:t xml:space="preserve"> </w:t>
      </w:r>
      <w:r>
        <w:t xml:space="preserve">Documentation examples contain fictional data. No real city account,</w:t>
      </w:r>
      <w:r>
        <w:t xml:space="preserve"> </w:t>
      </w:r>
      <w:r>
        <w:t xml:space="preserve">credential or record is required to exercise these examples in an</w:t>
      </w:r>
      <w:r>
        <w:t xml:space="preserve"> </w:t>
      </w:r>
      <w:r>
        <w:t xml:space="preserve">isolated test environment.</w:t>
      </w:r>
    </w:p>
    <w:bookmarkEnd w:id="76"/>
    <w:bookmarkStart w:id="77" w:name="local-operation-and-external-processors"/>
    <w:p>
      <w:pPr>
        <w:pStyle w:val="Heading3"/>
      </w:pPr>
      <w:r>
        <w:t xml:space="preserve">Local operation and</w:t>
      </w:r>
      <w:r>
        <w:t xml:space="preserve"> </w:t>
      </w:r>
      <w:r>
        <w:t xml:space="preserve">external processors</w:t>
      </w:r>
    </w:p>
    <w:p>
      <w:pPr>
        <w:pStyle w:val="FirstParagraph"/>
      </w:pPr>
      <w:r>
        <w:t xml:space="preserve">The accepted beta workflow is local and uses named staff accounts.</w:t>
      </w:r>
      <w:r>
        <w:t xml:space="preserve"> </w:t>
      </w:r>
      <w:r>
        <w:t xml:space="preserve">Station has separate storage and credentials. Configure backup</w:t>
      </w:r>
      <w:r>
        <w:t xml:space="preserve"> </w:t>
      </w:r>
      <w:r>
        <w:t xml:space="preserve">destinations and optional model/network providers deliberately. A</w:t>
      </w:r>
      <w:r>
        <w:t xml:space="preserve"> </w:t>
      </w:r>
      <w:r>
        <w:t xml:space="preserve">configured external provider may receive submitted prompts, images or</w:t>
      </w:r>
      <w:r>
        <w:t xml:space="preserve"> </w:t>
      </w:r>
      <w:r>
        <w:t xml:space="preserve">audio according to that configuration and provider’s terms; this</w:t>
      </w:r>
      <w:r>
        <w:t xml:space="preserve"> </w:t>
      </w:r>
      <w:r>
        <w:t xml:space="preserve">documentation does not promise that every optional configuration is</w:t>
      </w:r>
      <w:r>
        <w:t xml:space="preserve"> </w:t>
      </w:r>
      <w:r>
        <w:t xml:space="preserve">offline. An email outbox or local public view does not establish</w:t>
      </w:r>
      <w:r>
        <w:t xml:space="preserve"> </w:t>
      </w:r>
      <w:r>
        <w:t xml:space="preserve">external delivery or an internet deployment. This static documentation</w:t>
      </w:r>
      <w:r>
        <w:t xml:space="preserve"> </w:t>
      </w:r>
      <w:r>
        <w:t xml:space="preserve">site has no analytics, account collection or remote font dependency.</w:t>
      </w:r>
    </w:p>
    <w:bookmarkEnd w:id="77"/>
    <w:bookmarkStart w:id="78" w:name="staff-decisions-and-source-applicability"/>
    <w:p>
      <w:pPr>
        <w:pStyle w:val="Heading3"/>
      </w:pPr>
      <w:r>
        <w:t xml:space="preserve">Staff decisions and</w:t>
      </w:r>
      <w:r>
        <w:t xml:space="preserve"> </w:t>
      </w:r>
      <w:r>
        <w:t xml:space="preserve">source applicability</w:t>
      </w:r>
    </w:p>
    <w:p>
      <w:pPr>
        <w:pStyle w:val="FirstParagraph"/>
      </w:pPr>
      <w:r>
        <w:t xml:space="preserve">Staff verify the jurisdiction, source currency, permissions,</w:t>
      </w:r>
      <w:r>
        <w:t xml:space="preserve"> </w:t>
      </w:r>
      <w:r>
        <w:t xml:space="preserve">citations and proposed audience. Model output and generated guidance</w:t>
      </w:r>
      <w:r>
        <w:t xml:space="preserve"> </w:t>
      </w:r>
      <w:r>
        <w:t xml:space="preserve">require review. No draft is automatically an official legal</w:t>
      </w:r>
      <w:r>
        <w:t xml:space="preserve"> </w:t>
      </w:r>
      <w:r>
        <w:t xml:space="preserve">interpretation, zoning determination, permit approval, fee assessment,</w:t>
      </w:r>
      <w:r>
        <w:t xml:space="preserve"> </w:t>
      </w:r>
      <w:r>
        <w:t xml:space="preserve">enforcement notice or records-release decision. Official permit fee</w:t>
      </w:r>
      <w:r>
        <w:t xml:space="preserve"> </w:t>
      </w:r>
      <w:r>
        <w:t xml:space="preserve">authority remains with the adopted source and responsible organization;</w:t>
      </w:r>
      <w:r>
        <w:t xml:space="preserve"> </w:t>
      </w:r>
      <w:r>
        <w:t xml:space="preserve">imported amounts do not become a new authoritative calculation.</w:t>
      </w:r>
    </w:p>
    <w:bookmarkEnd w:id="78"/>
    <w:bookmarkStart w:id="79" w:name="beta-operation-and-recovery"/>
    <w:p>
      <w:pPr>
        <w:pStyle w:val="Heading3"/>
      </w:pPr>
      <w:r>
        <w:t xml:space="preserve">Beta operation and recovery</w:t>
      </w:r>
    </w:p>
    <w:p>
      <w:pPr>
        <w:pStyle w:val="FirstParagraph"/>
      </w:pPr>
      <w:r>
        <w:t xml:space="preserve">Use the identified candidate in its supported fresh-install scope.</w:t>
      </w:r>
      <w:r>
        <w:t xml:space="preserve"> </w:t>
      </w:r>
      <w:r>
        <w:t xml:space="preserve">Preserve backups and original evidence. Test physical equipment and</w:t>
      </w:r>
      <w:r>
        <w:t xml:space="preserve"> </w:t>
      </w:r>
      <w:r>
        <w:t xml:space="preserve">chosen network/service configuration before relying on them. The</w:t>
      </w:r>
      <w:r>
        <w:t xml:space="preserve"> </w:t>
      </w:r>
      <w:r>
        <w:t xml:space="preserve">supplied acceptance describes selected synthetic workflows, not every</w:t>
      </w:r>
      <w:r>
        <w:t xml:space="preserve"> </w:t>
      </w:r>
      <w:r>
        <w:t xml:space="preserve">screen, vendor, field condition or upgrade. Operators decide whether a</w:t>
      </w:r>
      <w:r>
        <w:t xml:space="preserve"> </w:t>
      </w:r>
      <w:r>
        <w:t xml:space="preserve">particular deployment meets their own operational obligations.</w:t>
      </w:r>
    </w:p>
    <w:bookmarkEnd w:id="79"/>
    <w:bookmarkStart w:id="80" w:name="warranty-and-liability"/>
    <w:p>
      <w:pPr>
        <w:pStyle w:val="Heading3"/>
      </w:pPr>
      <w:r>
        <w:t xml:space="preserve">Warranty and liability</w:t>
      </w:r>
    </w:p>
    <w:p>
      <w:pPr>
        <w:pStyle w:val="FirstParagraph"/>
      </w:pPr>
      <w:r>
        <w:t xml:space="preserve">The covered software’s warranty and liability conditions are those in</w:t>
      </w:r>
      <w:r>
        <w:t xml:space="preserve"> </w:t>
      </w:r>
      <w:r>
        <w:t xml:space="preserve">sections 15–17 of the supplied AGPL and any applicable separate written</w:t>
      </w:r>
      <w:r>
        <w:t xml:space="preserve"> </w:t>
      </w:r>
      <w:r>
        <w:t xml:space="preserve">undertaking. This documentation creates no additional warranty or</w:t>
      </w:r>
      <w:r>
        <w:t xml:space="preserve"> </w:t>
      </w:r>
      <w:r>
        <w:t xml:space="preserve">limitation beyond those terms. Third-party software is subject to its</w:t>
      </w:r>
      <w:r>
        <w:t xml:space="preserve"> </w:t>
      </w:r>
      <w:r>
        <w:t xml:space="preserve">retained license notices. Nothing here removes rights that applicable</w:t>
      </w:r>
      <w:r>
        <w:t xml:space="preserve"> </w:t>
      </w:r>
      <w:r>
        <w:t xml:space="preserve">law makes nonwaivable.</w:t>
      </w:r>
    </w:p>
    <w:bookmarkEnd w:id="80"/>
    <w:bookmarkStart w:id="81" w:name="support-and-incident-reporting"/>
    <w:p>
      <w:pPr>
        <w:pStyle w:val="Heading3"/>
      </w:pPr>
      <w:r>
        <w:t xml:space="preserve">Support and incident</w:t>
      </w:r>
      <w:r>
        <w:t xml:space="preserve"> </w:t>
      </w:r>
      <w:r>
        <w:t xml:space="preserve">reporting</w:t>
      </w:r>
    </w:p>
    <w:p>
      <w:pPr>
        <w:pStyle w:val="FirstParagraph"/>
      </w:pPr>
      <w:r>
        <w:t xml:space="preserve">Use the project’s existing SUPPORT and SECURITY guidance for its</w:t>
      </w:r>
      <w:r>
        <w:t xml:space="preserve"> </w:t>
      </w:r>
      <w:r>
        <w:t xml:space="preserve">matching repository. Report reproducible behavior with the version,</w:t>
      </w:r>
      <w:r>
        <w:t xml:space="preserve"> </w:t>
      </w:r>
      <w:r>
        <w:t xml:space="preserve">operation and redacted logs. Do not put credentials, resident records or</w:t>
      </w:r>
      <w:r>
        <w:t xml:space="preserve"> </w:t>
      </w:r>
      <w:r>
        <w:t xml:space="preserve">unredacted evidence in a public issue. Coordinate sensitive reports</w:t>
      </w:r>
      <w:r>
        <w:t xml:space="preserve"> </w:t>
      </w:r>
      <w:r>
        <w:t xml:space="preserve">through the channel designated in SECURITY. No new support address or</w:t>
      </w:r>
      <w:r>
        <w:t xml:space="preserve"> </w:t>
      </w:r>
      <w:r>
        <w:t xml:space="preserve">service commitment is invented here.</w:t>
      </w:r>
    </w:p>
    <w:bookmarkEnd w:id="81"/>
    <w:bookmarkStart w:id="82" w:name="X31f05bddf6aa9d1ff47b7e67ed4759e27e0b8e9"/>
    <w:p>
      <w:pPr>
        <w:pStyle w:val="Heading3"/>
      </w:pPr>
      <w:r>
        <w:t xml:space="preserve">Ending a beta</w:t>
      </w:r>
      <w:r>
        <w:t xml:space="preserve"> </w:t>
      </w:r>
      <w:r>
        <w:t xml:space="preserve">exercise and document changes</w:t>
      </w:r>
    </w:p>
    <w:p>
      <w:pPr>
        <w:pStyle w:val="FirstParagraph"/>
      </w:pPr>
      <w:r>
        <w:t xml:space="preserve">When an organization ends testing, it controls retention/export and</w:t>
      </w:r>
      <w:r>
        <w:t xml:space="preserve"> </w:t>
      </w:r>
      <w:r>
        <w:t xml:space="preserve">removes access according to its policy. Uninstall may retain data; back</w:t>
      </w:r>
      <w:r>
        <w:t xml:space="preserve"> </w:t>
      </w:r>
      <w:r>
        <w:t xml:space="preserve">up and inspect the selected removal options. Ending an exercise does not</w:t>
      </w:r>
      <w:r>
        <w:t xml:space="preserve"> </w:t>
      </w:r>
      <w:r>
        <w:t xml:space="preserve">revoke rights already granted by AGPL. Later software/documentation</w:t>
      </w:r>
      <w:r>
        <w:t xml:space="preserve"> </w:t>
      </w:r>
      <w:r>
        <w:t xml:space="preserve">versions must identify their changed candidate and scope; historical</w:t>
      </w:r>
      <w:r>
        <w:t xml:space="preserve"> </w:t>
      </w:r>
      <w:r>
        <w:t xml:space="preserve">receipts retain their original identities. These terms do not claim that</w:t>
      </w:r>
      <w:r>
        <w:t xml:space="preserve"> </w:t>
      </w:r>
      <w:r>
        <w:t xml:space="preserve">a city has accepted a contract merely by reading a manual.</w:t>
      </w:r>
    </w:p>
    <w:bookmarkEnd w:id="82"/>
    <w:bookmarkEnd w:id="83"/>
    <w:bookmarkStart w:id="84" w:name="glossary"/>
    <w:p>
      <w:pPr>
        <w:pStyle w:val="Heading2"/>
      </w:pPr>
      <w:r>
        <w:t xml:space="preserve">Glossary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Approval</w:t>
            </w:r>
          </w:p>
        </w:tc>
        <w:tc>
          <w:tcPr/>
          <w:p>
            <w:pPr>
              <w:pStyle w:val="Compact"/>
            </w:pPr>
            <w:r>
              <w:t xml:space="preserve">An explicit authorized decision on the saved text/artifact. It is</w:t>
            </w:r>
            <w:r>
              <w:t xml:space="preserve"> </w:t>
            </w:r>
            <w:r>
              <w:t xml:space="preserve">separate from saving or attachment.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Canonical record</w:t>
            </w:r>
          </w:p>
        </w:tc>
        <w:tc>
          <w:tcPr/>
          <w:p>
            <w:pPr>
              <w:pStyle w:val="Compact"/>
            </w:pPr>
            <w:r>
              <w:t xml:space="preserve">The owning product’s retained identity and saved version, rather</w:t>
            </w:r>
            <w:r>
              <w:t xml:space="preserve"> </w:t>
            </w:r>
            <w:r>
              <w:t xml:space="preserve">than an editable copied label.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Composition</w:t>
            </w:r>
          </w:p>
        </w:tc>
        <w:tc>
          <w:tcPr/>
          <w:p>
            <w:pPr>
              <w:pStyle w:val="Compact"/>
            </w:pPr>
            <w:r>
              <w:t xml:space="preserve">The selected set of desktop modules; inspections-preview exposes the</w:t>
            </w:r>
            <w:r>
              <w:t xml:space="preserve"> </w:t>
            </w:r>
            <w:r>
              <w:t xml:space="preserve">eight staff products.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Corresponding source</w:t>
            </w:r>
          </w:p>
        </w:tc>
        <w:tc>
          <w:tcPr/>
          <w:p>
            <w:pPr>
              <w:pStyle w:val="Compact"/>
            </w:pPr>
            <w:r>
              <w:t xml:space="preserve">The source/build material matching the delivered covered program,</w:t>
            </w:r>
            <w:r>
              <w:t xml:space="preserve"> </w:t>
            </w:r>
            <w:r>
              <w:t xml:space="preserve">subject to its license.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Derivative / Records copy</w:t>
            </w:r>
          </w:p>
        </w:tc>
        <w:tc>
          <w:tcPr/>
          <w:p>
            <w:pPr>
              <w:pStyle w:val="Compact"/>
            </w:pPr>
            <w:r>
              <w:t xml:space="preserve">A separately prepared document with its own intended audience and</w:t>
            </w:r>
            <w:r>
              <w:t xml:space="preserve"> </w:t>
            </w:r>
            <w:r>
              <w:t xml:space="preserve">hash.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Hash / SHA256</w:t>
            </w:r>
          </w:p>
        </w:tc>
        <w:tc>
          <w:tcPr/>
          <w:p>
            <w:pPr>
              <w:pStyle w:val="Compact"/>
            </w:pPr>
            <w:r>
              <w:t xml:space="preserve">A fingerprint of exact bytes. It detects change; it does not</w:t>
            </w:r>
            <w:r>
              <w:t xml:space="preserve"> </w:t>
            </w:r>
            <w:r>
              <w:t xml:space="preserve">establish legal authority.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Idempotency</w:t>
            </w:r>
          </w:p>
        </w:tc>
        <w:tc>
          <w:tcPr/>
          <w:p>
            <w:pPr>
              <w:pStyle w:val="Compact"/>
            </w:pPr>
            <w:r>
              <w:t xml:space="preserve">Repeating the same identified request has the same intended effect;</w:t>
            </w:r>
            <w:r>
              <w:t xml:space="preserve"> </w:t>
            </w:r>
            <w:r>
              <w:t xml:space="preserve">changing its payload can be refused.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IPC</w:t>
            </w:r>
          </w:p>
        </w:tc>
        <w:tc>
          <w:tcPr/>
          <w:p>
            <w:pPr>
              <w:pStyle w:val="Compact"/>
            </w:pPr>
            <w:r>
              <w:t xml:space="preserve">The native desktop command boundary between its browser interface</w:t>
            </w:r>
            <w:r>
              <w:t xml:space="preserve"> </w:t>
            </w:r>
            <w:r>
              <w:t xml:space="preserve">and Rust host.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MCP</w:t>
            </w:r>
          </w:p>
        </w:tc>
        <w:tc>
          <w:tcPr/>
          <w:p>
            <w:pPr>
              <w:pStyle w:val="Compact"/>
            </w:pPr>
            <w:r>
              <w:t xml:space="preserve">Model Context Protocol; no direct Townlight product server is</w:t>
            </w:r>
            <w:r>
              <w:t xml:space="preserve"> </w:t>
            </w:r>
            <w:r>
              <w:t xml:space="preserve">enabled by this beta.</w:t>
            </w:r>
          </w:p>
        </w:tc>
      </w:tr>
      <w:tr>
        <w:tc>
          <w:tcPr/>
          <w:p>
            <w:pPr>
              <w:pStyle w:val="Compact"/>
            </w:pPr>
            <w:r>
              <w:t xml:space="preserve">Original</w:t>
            </w:r>
          </w:p>
        </w:tc>
        <w:tc>
          <w:tcPr/>
          <w:p>
            <w:pPr>
              <w:pStyle w:val="Compact"/>
            </w:pPr>
            <w:r>
              <w:t xml:space="preserve">Retained source bytes. A reviewed derivative does not replace</w:t>
            </w:r>
            <w:r>
              <w:t xml:space="preserve"> </w:t>
            </w:r>
            <w:r>
              <w:t xml:space="preserve">them.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Provenance</w:t>
            </w:r>
          </w:p>
        </w:tc>
        <w:tc>
          <w:tcPr/>
          <w:p>
            <w:pPr>
              <w:pStyle w:val="Compact"/>
            </w:pPr>
            <w:r>
              <w:t xml:space="preserve">Source, version, date, actor and relationship information retained</w:t>
            </w:r>
            <w:r>
              <w:t xml:space="preserve"> </w:t>
            </w:r>
            <w:r>
              <w:t xml:space="preserve">with evidence.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Revision</w:t>
            </w:r>
          </w:p>
        </w:tc>
        <w:tc>
          <w:tcPr/>
          <w:p>
            <w:pPr>
              <w:pStyle w:val="Compact"/>
            </w:pPr>
            <w:r>
              <w:t xml:space="preserve">An immutable saved version. Later edits do not inherit an earlier</w:t>
            </w:r>
            <w:r>
              <w:t xml:space="preserve"> </w:t>
            </w:r>
            <w:r>
              <w:t xml:space="preserve">review automatically.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Snapshot</w:t>
            </w:r>
          </w:p>
        </w:tc>
        <w:tc>
          <w:tcPr/>
          <w:p>
            <w:pPr>
              <w:pStyle w:val="Compact"/>
            </w:pPr>
            <w:r>
              <w:t xml:space="preserve">A fixed audience-specific copy tied to a source/reviewed</w:t>
            </w:r>
            <w:r>
              <w:t xml:space="preserve"> </w:t>
            </w:r>
            <w:r>
              <w:t xml:space="preserve">revision.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Station</w:t>
            </w:r>
          </w:p>
        </w:tc>
        <w:tc>
          <w:tcPr/>
          <w:p>
            <w:pPr>
              <w:pStyle w:val="Compact"/>
            </w:pPr>
            <w:r>
              <w:t xml:space="preserve">Townlight’s separate media boundary using a pinned CivicCast-derived</w:t>
            </w:r>
            <w:r>
              <w:t xml:space="preserve"> </w:t>
            </w:r>
            <w:r>
              <w:t xml:space="preserve">engine; standalone CivicCast remains separate.</w:t>
            </w:r>
          </w:p>
        </w:tc>
      </w:tr>
    </w:tbl>
    <w:bookmarkEnd w:id="84"/>
    <w:bookmarkStart w:id="86" w:name="alphabetical-subject-index"/>
    <w:p>
      <w:pPr>
        <w:pStyle w:val="Heading2"/>
      </w:pPr>
      <w:r>
        <w:t xml:space="preserve">Alphabetical subject index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Accounts and authentication</w:t>
      </w:r>
      <w:r>
        <w:t xml:space="preserve"> </w:t>
      </w:r>
      <w:r>
        <w:t xml:space="preserve">—</w:t>
      </w:r>
      <w:r>
        <w:t xml:space="preserve"> </w:t>
      </w:r>
      <w:hyperlink w:anchor="security-and-permissions">
        <w:r>
          <w:rPr>
            <w:rStyle w:val="Hyperlink"/>
          </w:rPr>
          <w:t xml:space="preserve">Security and permissions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AGPL and source</w:t>
      </w:r>
      <w:r>
        <w:t xml:space="preserve"> </w:t>
      </w:r>
      <w:r>
        <w:t xml:space="preserve">—</w:t>
      </w:r>
      <w:r>
        <w:t xml:space="preserve"> </w:t>
      </w: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API contracts</w:t>
      </w:r>
      <w:r>
        <w:t xml:space="preserve"> </w:t>
      </w:r>
      <w:r>
        <w:t xml:space="preserve">—</w:t>
      </w:r>
      <w:r>
        <w:t xml:space="preserve"> </w:t>
      </w:r>
      <w:hyperlink w:anchor="api-and-integration-examples">
        <w:r>
          <w:rPr>
            <w:rStyle w:val="Hyperlink"/>
          </w:rPr>
          <w:t xml:space="preserve">API and integration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examples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Architecture</w:t>
      </w:r>
      <w:r>
        <w:t xml:space="preserve"> </w:t>
      </w:r>
      <w:r>
        <w:t xml:space="preserve">—</w:t>
      </w:r>
      <w:r>
        <w:t xml:space="preserve"> </w:t>
      </w:r>
      <w:hyperlink w:anchor="architecture">
        <w:r>
          <w:rPr>
            <w:rStyle w:val="Hyperlink"/>
          </w:rPr>
          <w:t xml:space="preserve">Architecture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Backup</w:t>
      </w:r>
      <w:r>
        <w:t xml:space="preserve"> </w:t>
      </w:r>
      <w:r>
        <w:t xml:space="preserve">—</w:t>
      </w:r>
      <w:r>
        <w:t xml:space="preserve"> </w:t>
      </w: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Beta version</w:t>
      </w:r>
      <w:r>
        <w:t xml:space="preserve"> </w:t>
      </w:r>
      <w:r>
        <w:t xml:space="preserve">—</w:t>
      </w:r>
      <w:r>
        <w:t xml:space="preserve"> </w:t>
      </w:r>
      <w:hyperlink w:anchor="beta-identity">
        <w:r>
          <w:rPr>
            <w:rStyle w:val="Hyperlink"/>
          </w:rPr>
          <w:t xml:space="preserve">Beta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identity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Configuration</w:t>
      </w:r>
      <w:r>
        <w:t xml:space="preserve"> </w:t>
      </w:r>
      <w:r>
        <w:t xml:space="preserve">—</w:t>
      </w:r>
      <w:r>
        <w:t xml:space="preserve"> </w:t>
      </w: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Evidence and acceptance</w:t>
      </w:r>
      <w:r>
        <w:t xml:space="preserve"> </w:t>
      </w:r>
      <w:r>
        <w:t xml:space="preserve">—</w:t>
      </w:r>
      <w:r>
        <w:t xml:space="preserve"> </w:t>
      </w:r>
      <w:hyperlink w:anchor="verified-workflows-and-limits">
        <w:r>
          <w:rPr>
            <w:rStyle w:val="Hyperlink"/>
          </w:rPr>
          <w:t xml:space="preserve">Verified workflows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limits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Fees and official decisions</w:t>
      </w:r>
      <w:r>
        <w:t xml:space="preserve"> </w:t>
      </w:r>
      <w:r>
        <w:t xml:space="preserve">—</w:t>
      </w:r>
      <w:r>
        <w:t xml:space="preserve"> </w:t>
      </w:r>
      <w:hyperlink w:anchor="terms-of-service-and-license">
        <w:r>
          <w:rPr>
            <w:rStyle w:val="Hyperlink"/>
          </w:rPr>
          <w:t xml:space="preserve">Terms of service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license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First run</w:t>
      </w:r>
      <w:r>
        <w:t xml:space="preserve"> </w:t>
      </w:r>
      <w:r>
        <w:t xml:space="preserve">—</w:t>
      </w:r>
      <w:r>
        <w:t xml:space="preserve"> </w:t>
      </w:r>
      <w:hyperlink w:anchor="first-run">
        <w:r>
          <w:rPr>
            <w:rStyle w:val="Hyperlink"/>
          </w:rPr>
          <w:t xml:space="preserve">First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run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Handoffs and audience</w:t>
      </w:r>
      <w:r>
        <w:t xml:space="preserve"> </w:t>
      </w:r>
      <w:r>
        <w:t xml:space="preserve">—</w:t>
      </w:r>
      <w:r>
        <w:t xml:space="preserve"> </w:t>
      </w:r>
      <w:hyperlink w:anchor="connected-workflows">
        <w:r>
          <w:rPr>
            <w:rStyle w:val="Hyperlink"/>
          </w:rPr>
          <w:t xml:space="preserve">Connected workflows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MCP</w:t>
      </w:r>
      <w:r>
        <w:t xml:space="preserve"> </w:t>
      </w:r>
      <w:r>
        <w:t xml:space="preserve">—</w:t>
      </w:r>
      <w:r>
        <w:t xml:space="preserve"> </w:t>
      </w:r>
      <w:hyperlink w:anchor="mcp-and-automation-boundary">
        <w:r>
          <w:rPr>
            <w:rStyle w:val="Hyperlink"/>
          </w:rPr>
          <w:t xml:space="preserve">MCP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and automation boundary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Originals and provenance</w:t>
      </w:r>
      <w:r>
        <w:t xml:space="preserve"> </w:t>
      </w:r>
      <w:r>
        <w:t xml:space="preserve">—</w:t>
      </w:r>
      <w:r>
        <w:t xml:space="preserve"> </w:t>
      </w:r>
      <w:hyperlink w:anchor="security-and-permissions">
        <w:r>
          <w:rPr>
            <w:rStyle w:val="Hyperlink"/>
          </w:rPr>
          <w:t xml:space="preserve">Security and permissions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Recovery</w:t>
      </w:r>
      <w:r>
        <w:t xml:space="preserve"> </w:t>
      </w:r>
      <w:r>
        <w:t xml:space="preserve">—</w:t>
      </w:r>
      <w:r>
        <w:t xml:space="preserve"> </w:t>
      </w:r>
      <w:hyperlink w:anchor="backup-recovery-and-maintenance">
        <w:r>
          <w:rPr>
            <w:rStyle w:val="Hyperlink"/>
          </w:rPr>
          <w:t xml:space="preserve">Backup recovery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maintenance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Staff procedures</w:t>
      </w:r>
      <w:r>
        <w:t xml:space="preserve"> </w:t>
      </w:r>
      <w:r>
        <w:t xml:space="preserve">—</w:t>
      </w:r>
      <w:r>
        <w:t xml:space="preserve"> </w:t>
      </w:r>
      <w:hyperlink w:anchor="daily-workflow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Station configuration</w:t>
      </w:r>
      <w:r>
        <w:t xml:space="preserve"> </w:t>
      </w:r>
      <w:r>
        <w:t xml:space="preserve">—</w:t>
      </w:r>
      <w:r>
        <w:t xml:space="preserve"> </w:t>
      </w:r>
      <w:hyperlink w:anchor="configuration-and-administration">
        <w:r>
          <w:rPr>
            <w:rStyle w:val="Hyperlink"/>
          </w:rPr>
          <w:t xml:space="preserve">Configuration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administration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Technical stack</w:t>
      </w:r>
      <w:r>
        <w:t xml:space="preserve"> </w:t>
      </w:r>
      <w:r>
        <w:t xml:space="preserve">—</w:t>
      </w:r>
      <w:r>
        <w:t xml:space="preserve"> </w:t>
      </w:r>
      <w:hyperlink w:anchor="technical-specifications">
        <w:r>
          <w:rPr>
            <w:rStyle w:val="Hyperlink"/>
          </w:rPr>
          <w:t xml:space="preserve">Technical specifications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Troubleshooting</w:t>
      </w:r>
      <w:r>
        <w:t xml:space="preserve"> </w:t>
      </w:r>
      <w:r>
        <w:t xml:space="preserve">—</w:t>
      </w:r>
      <w:r>
        <w:t xml:space="preserve"> </w:t>
      </w:r>
      <w:hyperlink w:anchor="troubleshooting">
        <w:r>
          <w:rPr>
            <w:rStyle w:val="Hyperlink"/>
          </w:rPr>
          <w:t xml:space="preserve">Troubleshooting</w:t>
        </w:r>
      </w:hyperlink>
      <w:r>
        <w:t xml:space="preserve">.</w:t>
      </w:r>
    </w:p>
    <w:bookmarkStart w:id="85" w:name="operating-subject-links"/>
    <w:p>
      <w:pPr>
        <w:pStyle w:val="Heading3"/>
      </w:pPr>
      <w:r>
        <w:t xml:space="preserve">Operating subject links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Catalog import and readback</w:t>
      </w:r>
      <w:r>
        <w:t xml:space="preserve"> </w:t>
      </w:r>
      <w:r>
        <w:t xml:space="preserve">—</w:t>
      </w:r>
      <w:r>
        <w:t xml:space="preserve"> </w:t>
      </w:r>
      <w:hyperlink w:anchor="catalog-import-and-readback">
        <w:r>
          <w:rPr>
            <w:rStyle w:val="Hyperlink"/>
          </w:rPr>
          <w:t xml:space="preserve">Catalog import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readback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Jurisdictional rule evaluation and review</w:t>
      </w:r>
      <w:r>
        <w:t xml:space="preserve"> </w:t>
      </w:r>
      <w:r>
        <w:t xml:space="preserve">—</w:t>
      </w:r>
      <w:r>
        <w:t xml:space="preserve"> </w:t>
      </w:r>
      <w:hyperlink w:anchor="Xa814f86ec8208751e9b604b07b2ed51bdcf5064">
        <w:r>
          <w:rPr>
            <w:rStyle w:val="Hyperlink"/>
          </w:rPr>
          <w:t xml:space="preserve">Jurisdictional rule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evaluation and review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Scaffold plan and generate</w:t>
      </w:r>
      <w:r>
        <w:t xml:space="preserve"> </w:t>
      </w:r>
      <w:r>
        <w:t xml:space="preserve">—</w:t>
      </w:r>
      <w:r>
        <w:t xml:space="preserve"> </w:t>
      </w:r>
      <w:hyperlink w:anchor="scaffold-plan-and-generate">
        <w:r>
          <w:rPr>
            <w:rStyle w:val="Hyperlink"/>
          </w:rPr>
          <w:t xml:space="preserve">Scaffold plan and generate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Shared catalog rules and scaffolding</w:t>
      </w:r>
      <w:r>
        <w:t xml:space="preserve"> </w:t>
      </w:r>
      <w:r>
        <w:t xml:space="preserve">—</w:t>
      </w:r>
      <w:r>
        <w:t xml:space="preserve"> </w:t>
      </w:r>
      <w:hyperlink w:anchor="shared-catalog-rules-and-scaffolding">
        <w:r>
          <w:rPr>
            <w:rStyle w:val="Hyperlink"/>
          </w:rPr>
          <w:t xml:space="preserve">Shared catalog rules and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scaffolding</w:t>
        </w:r>
      </w:hyperlink>
      <w:r>
        <w:t xml:space="preserve">.</w:t>
      </w:r>
    </w:p>
    <w:bookmarkEnd w:id="85"/>
    <w:bookmarkEnd w:id="86"/>
    <w:bookmarkStart w:id="92" w:name="source-and-document-control"/>
    <w:p>
      <w:pPr>
        <w:pStyle w:val="Heading2"/>
      </w:pPr>
      <w:r>
        <w:t xml:space="preserve">Source and document control</w:t>
      </w:r>
    </w:p>
    <w:p>
      <w:pPr>
        <w:pStyle w:val="FirstParagraph"/>
      </w:pPr>
      <w:r>
        <w:t xml:space="preserve">This edition is authored from the immutable corresponding-source</w:t>
      </w:r>
      <w:r>
        <w:t xml:space="preserve"> </w:t>
      </w:r>
      <w:r>
        <w:t xml:space="preserve">companion, the generated installed-domain schema and the retained</w:t>
      </w:r>
      <w:r>
        <w:t xml:space="preserve"> </w:t>
      </w:r>
      <w:r>
        <w:t xml:space="preserve">workflow receipts. The current software versions and signed artifacts</w:t>
      </w:r>
      <w:r>
        <w:t xml:space="preserve"> </w:t>
      </w:r>
      <w:r>
        <w:t xml:space="preserve">are unchanged. Public historical pages are not synchronized or published</w:t>
      </w:r>
      <w:r>
        <w:t xml:space="preserve"> </w:t>
      </w:r>
      <w:r>
        <w:t xml:space="preserve">by this local documentation task.</w:t>
      </w:r>
    </w:p>
    <w:bookmarkStart w:id="91" w:name="workflow-subject-index"/>
    <w:p>
      <w:pPr>
        <w:pStyle w:val="Heading3"/>
      </w:pPr>
      <w:r>
        <w:t xml:space="preserve">Workflow subject index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Activate the runtime</w:t>
      </w:r>
      <w:r>
        <w:t xml:space="preserve"> </w:t>
      </w:r>
      <w:r>
        <w:t xml:space="preserve">—</w:t>
      </w:r>
      <w:r>
        <w:t xml:space="preserve"> </w:t>
      </w:r>
      <w:hyperlink w:anchor="workflow-2">
        <w:r>
          <w:rPr>
            <w:rStyle w:val="Hyperlink"/>
          </w:rPr>
          <w:t xml:space="preserve">Daily workflow, step 2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Collect diagnostics</w:t>
      </w:r>
      <w:r>
        <w:t xml:space="preserve"> </w:t>
      </w:r>
      <w:r>
        <w:t xml:space="preserve">—</w:t>
      </w:r>
      <w:r>
        <w:t xml:space="preserve"> </w:t>
      </w:r>
      <w:hyperlink w:anchor="workflow-7">
        <w:r>
          <w:rPr>
            <w:rStyle w:val="Hyperlink"/>
          </w:rPr>
          <w:t xml:space="preserve">Daily workflow, step 7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Complete setup</w:t>
      </w:r>
      <w:r>
        <w:t xml:space="preserve"> </w:t>
      </w:r>
      <w:r>
        <w:t xml:space="preserve">—</w:t>
      </w:r>
      <w:r>
        <w:t xml:space="preserve"> </w:t>
      </w:r>
      <w:hyperlink w:anchor="workflow-1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workflow, step 1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Create staff access</w:t>
      </w:r>
      <w:r>
        <w:t xml:space="preserve"> </w:t>
      </w:r>
      <w:r>
        <w:t xml:space="preserve">—</w:t>
      </w:r>
      <w:r>
        <w:t xml:space="preserve"> </w:t>
      </w:r>
      <w:hyperlink w:anchor="workflow-3">
        <w:r>
          <w:rPr>
            <w:rStyle w:val="Hyperlink"/>
          </w:rPr>
          <w:t xml:space="preserve">Daily workflow, step 3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Import through the right product</w:t>
      </w:r>
      <w:r>
        <w:t xml:space="preserve"> </w:t>
      </w:r>
      <w:r>
        <w:t xml:space="preserve">—</w:t>
      </w:r>
      <w:r>
        <w:t xml:space="preserve"> </w:t>
      </w:r>
      <w:hyperlink w:anchor="workflow-4">
        <w:r>
          <w:rPr>
            <w:rStyle w:val="Hyperlink"/>
          </w:rPr>
          <w:t xml:space="preserve">Daily workflow, step 4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Make a coherent backup</w:t>
      </w:r>
      <w:r>
        <w:t xml:space="preserve"> </w:t>
      </w:r>
      <w:r>
        <w:t xml:space="preserve">—</w:t>
      </w:r>
      <w:r>
        <w:t xml:space="preserve"> </w:t>
      </w:r>
      <w:hyperlink w:anchor="workflow-5">
        <w:r>
          <w:rPr>
            <w:rStyle w:val="Hyperlink"/>
          </w:rPr>
          <w:t xml:space="preserve">Daily workflow, step 5</w:t>
        </w:r>
      </w:hyperlink>
      <w:r>
        <w:t xml:space="preserve">.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Restore and verify</w:t>
      </w:r>
      <w:r>
        <w:t xml:space="preserve"> </w:t>
      </w:r>
      <w:r>
        <w:t xml:space="preserve">—</w:t>
      </w:r>
      <w:r>
        <w:t xml:space="preserve"> </w:t>
      </w:r>
      <w:hyperlink w:anchor="workflow-6">
        <w:r>
          <w:rPr>
            <w:rStyle w:val="Hyperlink"/>
          </w:rPr>
          <w:t xml:space="preserve">Daily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workflow, step 6</w:t>
        </w:r>
      </w:hyperlink>
      <w:r>
        <w:t xml:space="preserve">.</w:t>
      </w:r>
    </w:p>
    <w:p>
      <w:pPr>
        <w:numPr>
          <w:ilvl w:val="0"/>
          <w:numId w:val="1008"/>
        </w:numPr>
      </w:pPr>
      <w:hyperlink r:id="rId87">
        <w:r>
          <w:rPr>
            <w:rStyle w:val="Hyperlink"/>
          </w:rPr>
          <w:t xml:space="preserve">Source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inventory and file hashes</w:t>
        </w:r>
      </w:hyperlink>
    </w:p>
    <w:p>
      <w:pPr>
        <w:numPr>
          <w:ilvl w:val="0"/>
          <w:numId w:val="1008"/>
        </w:numPr>
      </w:pPr>
      <w:hyperlink r:id="rId48">
        <w:r>
          <w:rPr>
            <w:rStyle w:val="Hyperlink"/>
          </w:rPr>
          <w:t xml:space="preserve">All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component metadata</w:t>
        </w:r>
      </w:hyperlink>
    </w:p>
    <w:p>
      <w:pPr>
        <w:numPr>
          <w:ilvl w:val="0"/>
          <w:numId w:val="1008"/>
        </w:numPr>
      </w:pPr>
      <w:hyperlink r:id="rId88">
        <w:r>
          <w:rPr>
            <w:rStyle w:val="Hyperlink"/>
          </w:rPr>
          <w:t xml:space="preserve">Installed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domain OpenAPI</w:t>
        </w:r>
      </w:hyperlink>
    </w:p>
    <w:p>
      <w:pPr>
        <w:numPr>
          <w:ilvl w:val="0"/>
          <w:numId w:val="1008"/>
        </w:numPr>
      </w:pPr>
      <w:hyperlink r:id="rId89">
        <w:r>
          <w:rPr>
            <w:rStyle w:val="Hyperlink"/>
          </w:rPr>
          <w:t xml:space="preserve">Workflow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matrix</w:t>
        </w:r>
      </w:hyperlink>
    </w:p>
    <w:p>
      <w:pPr>
        <w:numPr>
          <w:ilvl w:val="0"/>
          <w:numId w:val="1008"/>
        </w:numPr>
      </w:pPr>
      <w:hyperlink r:id="rId90">
        <w:r>
          <w:rPr>
            <w:rStyle w:val="Hyperlink"/>
          </w:rPr>
          <w:t xml:space="preserve">Full AGPL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text</w:t>
        </w:r>
      </w:hyperlink>
    </w:p>
    <w:bookmarkEnd w:id="91"/>
    <w:bookmarkEnd w:id="92"/>
    <w:bookmarkEnd w:id="9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4" Target="media/rId34.png" /><Relationship Type="http://schemas.openxmlformats.org/officeDocument/2006/relationships/hyperlink" Id="rId13" Target="https://github.com/townlight/townlight/releases/download/townlight-beta-1-windows-1.7.0.1/ACCEPTANCE-Windows-1.7.0.1.md" TargetMode="External" /><Relationship Type="http://schemas.openxmlformats.org/officeDocument/2006/relationships/hyperlink" Id="rId12" Target="https://github.com/townlight/townlight/releases/download/townlight-beta-1-windows-1.7.0.1/SHA256SUMS-Windows-1.7.0.1.txt" TargetMode="External" /><Relationship Type="http://schemas.openxmlformats.org/officeDocument/2006/relationships/hyperlink" Id="rId9" Target="https://github.com/townlight/townlight/releases/tag/townlight-beta-1-windows-1.7.0.1" TargetMode="External" /><Relationship Type="http://schemas.openxmlformats.org/officeDocument/2006/relationships/hyperlink" Id="rId60" Target="https://townlight.github.io/api/core-openapi.json" TargetMode="External" /><Relationship Type="http://schemas.openxmlformats.org/officeDocument/2006/relationships/hyperlink" Id="rId59" Target="https://townlight.github.io/api/core.html" TargetMode="External" /><Relationship Type="http://schemas.openxmlformats.org/officeDocument/2006/relationships/hyperlink" Id="rId90" Target="https://townlight.github.io/reference/AGPL-3.0.txt" TargetMode="External" /><Relationship Type="http://schemas.openxmlformats.org/officeDocument/2006/relationships/hyperlink" Id="rId48" Target="https://townlight.github.io/reference/component-metadata.json" TargetMode="External" /><Relationship Type="http://schemas.openxmlformats.org/officeDocument/2006/relationships/hyperlink" Id="rId88" Target="https://townlight.github.io/reference/desktop-domain-openapi.json" TargetMode="External" /><Relationship Type="http://schemas.openxmlformats.org/officeDocument/2006/relationships/hyperlink" Id="rId61" Target="https://townlight.github.io/reference/index.html" TargetMode="External" /><Relationship Type="http://schemas.openxmlformats.org/officeDocument/2006/relationships/hyperlink" Id="rId65" Target="https://townlight.github.io/reference/mcp.html" TargetMode="External" /><Relationship Type="http://schemas.openxmlformats.org/officeDocument/2006/relationships/hyperlink" Id="rId47" Target="https://townlight.github.io/reference/runtime-payload-lock.json" TargetMode="External" /><Relationship Type="http://schemas.openxmlformats.org/officeDocument/2006/relationships/hyperlink" Id="rId70" Target="https://townlight.github.io/reference/sandbox-evidence-index.json" TargetMode="External" /><Relationship Type="http://schemas.openxmlformats.org/officeDocument/2006/relationships/hyperlink" Id="rId87" Target="https://townlight.github.io/reference/source-inventory.json" TargetMode="External" /><Relationship Type="http://schemas.openxmlformats.org/officeDocument/2006/relationships/hyperlink" Id="rId89" Target="https://townlight.github.io/reference/workflow-matrix.json" TargetMode="External" /><Relationship Type="http://schemas.openxmlformats.org/officeDocument/2006/relationships/hyperlink" Id="rId73" Target="https://www.gnu.org/licenses/agpl-3.0.html" TargetMode="External" /><Relationship Type="http://schemas.openxmlformats.org/officeDocument/2006/relationships/hyperlink" Id="rId74" Target="https://www.gnu.org/licenses/gpl-faq.en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https://github.com/townlight/townlight/releases/download/townlight-beta-1-windows-1.7.0.1/ACCEPTANCE-Windows-1.7.0.1.md" TargetMode="External" /><Relationship Type="http://schemas.openxmlformats.org/officeDocument/2006/relationships/hyperlink" Id="rId12" Target="https://github.com/townlight/townlight/releases/download/townlight-beta-1-windows-1.7.0.1/SHA256SUMS-Windows-1.7.0.1.txt" TargetMode="External" /><Relationship Type="http://schemas.openxmlformats.org/officeDocument/2006/relationships/hyperlink" Id="rId9" Target="https://github.com/townlight/townlight/releases/tag/townlight-beta-1-windows-1.7.0.1" TargetMode="External" /><Relationship Type="http://schemas.openxmlformats.org/officeDocument/2006/relationships/hyperlink" Id="rId60" Target="https://townlight.github.io/api/core-openapi.json" TargetMode="External" /><Relationship Type="http://schemas.openxmlformats.org/officeDocument/2006/relationships/hyperlink" Id="rId59" Target="https://townlight.github.io/api/core.html" TargetMode="External" /><Relationship Type="http://schemas.openxmlformats.org/officeDocument/2006/relationships/hyperlink" Id="rId90" Target="https://townlight.github.io/reference/AGPL-3.0.txt" TargetMode="External" /><Relationship Type="http://schemas.openxmlformats.org/officeDocument/2006/relationships/hyperlink" Id="rId48" Target="https://townlight.github.io/reference/component-metadata.json" TargetMode="External" /><Relationship Type="http://schemas.openxmlformats.org/officeDocument/2006/relationships/hyperlink" Id="rId88" Target="https://townlight.github.io/reference/desktop-domain-openapi.json" TargetMode="External" /><Relationship Type="http://schemas.openxmlformats.org/officeDocument/2006/relationships/hyperlink" Id="rId61" Target="https://townlight.github.io/reference/index.html" TargetMode="External" /><Relationship Type="http://schemas.openxmlformats.org/officeDocument/2006/relationships/hyperlink" Id="rId65" Target="https://townlight.github.io/reference/mcp.html" TargetMode="External" /><Relationship Type="http://schemas.openxmlformats.org/officeDocument/2006/relationships/hyperlink" Id="rId47" Target="https://townlight.github.io/reference/runtime-payload-lock.json" TargetMode="External" /><Relationship Type="http://schemas.openxmlformats.org/officeDocument/2006/relationships/hyperlink" Id="rId70" Target="https://townlight.github.io/reference/sandbox-evidence-index.json" TargetMode="External" /><Relationship Type="http://schemas.openxmlformats.org/officeDocument/2006/relationships/hyperlink" Id="rId87" Target="https://townlight.github.io/reference/source-inventory.json" TargetMode="External" /><Relationship Type="http://schemas.openxmlformats.org/officeDocument/2006/relationships/hyperlink" Id="rId89" Target="https://townlight.github.io/reference/workflow-matrix.json" TargetMode="External" /><Relationship Type="http://schemas.openxmlformats.org/officeDocument/2006/relationships/hyperlink" Id="rId73" Target="https://www.gnu.org/licenses/agpl-3.0.html" TargetMode="External" /><Relationship Type="http://schemas.openxmlformats.org/officeDocument/2006/relationships/hyperlink" Id="rId74" Target="https://www.gnu.org/licenses/gpl-faq.en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Townlight Core Manual</dc:title>
  <dc:creator/>
  <cp:keywords/>
  <dcterms:created xsi:type="dcterms:W3CDTF">2026-11-04T06:03:14Z</dcterms:created>
  <dcterms:modified xsi:type="dcterms:W3CDTF">2026-11-04T06:03:14Z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