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Code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code-manual">
        <w:r>
          <w:rPr>
            <w:rStyle w:val="Hyperlink"/>
          </w:rPr>
          <w:t xml:space="preserve">Townlight Code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Xe05807e54d45c262bc55a5a323d6138ed28aa7b">
        <w:r>
          <w:rPr>
            <w:rStyle w:val="Hyperlink"/>
          </w:rPr>
          <w:t xml:space="preserve">Cited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questions summaries and local synchronization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4" w:name="townlight-code-manual"/>
    <w:p>
      <w:pPr>
        <w:pStyle w:val="Heading1"/>
      </w:pPr>
      <w:r>
        <w:t xml:space="preserve">Townlight Code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Xe05807e54d45c262bc55a5a323d6138ed28aa7b">
        <w:r>
          <w:rPr>
            <w:rStyle w:val="Hyperlink"/>
          </w:rPr>
          <w:t xml:space="preserve">Cited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questions summaries and local synchronization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Code helps code custodians, clerks, legal reviewers and</w:t>
      </w:r>
      <w:r>
        <w:t xml:space="preserve"> </w:t>
      </w:r>
      <w:r>
        <w:t xml:space="preserve">staff seeking cited authority. Code imports and preserves municipal code</w:t>
      </w:r>
      <w:r>
        <w:t xml:space="preserve"> </w:t>
      </w:r>
      <w:r>
        <w:t xml:space="preserve">sources, supplies exact citations and version history, and connects</w:t>
      </w:r>
      <w:r>
        <w:t xml:space="preserve"> </w:t>
      </w:r>
      <w:r>
        <w:t xml:space="preserve">proposed legislation to Meetings. Authorized staff separately record</w:t>
      </w:r>
      <w:r>
        <w:t xml:space="preserve"> </w:t>
      </w:r>
      <w:r>
        <w:t xml:space="preserve">adoption evidence and codification.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townlight-code 1.0.9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1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import-a-source"/>
    <w:p>
      <w:pPr>
        <w:pStyle w:val="Heading3"/>
      </w:pPr>
      <w:r>
        <w:t xml:space="preserve">1. Import a source</w:t>
      </w:r>
    </w:p>
    <w:p>
      <w:pPr>
        <w:pStyle w:val="FirstParagraph"/>
      </w:pPr>
      <w:r>
        <w:t xml:space="preserve">Inspect the complete bundle JSON for jurisdiction, section</w:t>
      </w:r>
      <w:r>
        <w:t xml:space="preserve"> </w:t>
      </w:r>
      <w:r>
        <w:t xml:space="preserve">identifiers, source/effective dates, original name and hashes before</w:t>
      </w:r>
      <w:r>
        <w:t xml:space="preserve"> </w:t>
      </w:r>
      <w:r>
        <w:t xml:space="preserve">selecting Import. Import submits directly; inspect the saved import and</w:t>
      </w:r>
      <w:r>
        <w:t xml:space="preserve"> </w:t>
      </w:r>
      <w:r>
        <w:t xml:space="preserve">provenance afterward. There is no separate preview/confirmation</w:t>
      </w:r>
      <w:r>
        <w:t xml:space="preserve"> </w:t>
      </w:r>
      <w:r>
        <w:t xml:space="preserve">step.</w:t>
      </w:r>
    </w:p>
    <w:p>
      <w:pPr>
        <w:pStyle w:val="BodyText"/>
      </w:pPr>
      <w:bookmarkStart w:id="17" w:name="workflow-2"/>
      <w:bookmarkEnd w:id="17"/>
    </w:p>
    <w:bookmarkEnd w:id="18"/>
    <w:bookmarkStart w:id="20" w:name="find-the-exact-section"/>
    <w:p>
      <w:pPr>
        <w:pStyle w:val="Heading3"/>
      </w:pPr>
      <w:r>
        <w:t xml:space="preserve">2. Find the exact section</w:t>
      </w:r>
    </w:p>
    <w:p>
      <w:pPr>
        <w:pStyle w:val="FirstParagraph"/>
      </w:pPr>
      <w:r>
        <w:t xml:space="preserve">Search the topic and open the cited section. Check the requested</w:t>
      </w:r>
      <w:r>
        <w:t xml:space="preserve"> </w:t>
      </w:r>
      <w:r>
        <w:t xml:space="preserve">as-of date and version. Keep explanatory wording separate from the</w:t>
      </w:r>
      <w:r>
        <w:t xml:space="preserve"> </w:t>
      </w:r>
      <w:r>
        <w:t xml:space="preserve">retained source text.</w:t>
      </w:r>
    </w:p>
    <w:p>
      <w:pPr>
        <w:pStyle w:val="BodyText"/>
      </w:pPr>
      <w:bookmarkStart w:id="19" w:name="workflow-3"/>
      <w:bookmarkEnd w:id="19"/>
    </w:p>
    <w:bookmarkEnd w:id="20"/>
    <w:bookmarkStart w:id="22" w:name="inspect-provenance"/>
    <w:p>
      <w:pPr>
        <w:pStyle w:val="Heading3"/>
      </w:pPr>
      <w:r>
        <w:t xml:space="preserve">3. Inspect provenance</w:t>
      </w:r>
    </w:p>
    <w:p>
      <w:pPr>
        <w:pStyle w:val="FirstParagraph"/>
      </w:pPr>
      <w:r>
        <w:t xml:space="preserve">Read import history, original source and section history. Export the</w:t>
      </w:r>
      <w:r>
        <w:t xml:space="preserve"> </w:t>
      </w:r>
      <w:r>
        <w:t xml:space="preserve">exact cited source when it is needed for a staff workpaper or Records</w:t>
      </w:r>
      <w:r>
        <w:t xml:space="preserve"> </w:t>
      </w:r>
      <w:r>
        <w:t xml:space="preserve">evidence.</w:t>
      </w:r>
    </w:p>
    <w:p>
      <w:pPr>
        <w:pStyle w:val="BodyText"/>
      </w:pPr>
      <w:bookmarkStart w:id="21" w:name="workflow-4"/>
      <w:bookmarkEnd w:id="21"/>
    </w:p>
    <w:bookmarkEnd w:id="22"/>
    <w:bookmarkStart w:id="24" w:name="connect-a-proposal"/>
    <w:p>
      <w:pPr>
        <w:pStyle w:val="Heading3"/>
      </w:pPr>
      <w:r>
        <w:t xml:space="preserve">4. Connect a proposal</w:t>
      </w:r>
    </w:p>
    <w:p>
      <w:pPr>
        <w:pStyle w:val="FirstParagraph"/>
      </w:pPr>
      <w:r>
        <w:t xml:space="preserve">Create the existing Code–Meetings connection for the actual proposal</w:t>
      </w:r>
      <w:r>
        <w:t xml:space="preserve"> </w:t>
      </w:r>
      <w:r>
        <w:t xml:space="preserve">and agenda context. Retain the connection identifier and keep pending</w:t>
      </w:r>
      <w:r>
        <w:t xml:space="preserve"> </w:t>
      </w:r>
      <w:r>
        <w:t xml:space="preserve">text distinct from adopted code.</w:t>
      </w:r>
    </w:p>
    <w:p>
      <w:pPr>
        <w:pStyle w:val="BodyText"/>
      </w:pPr>
      <w:bookmarkStart w:id="23" w:name="workflow-5"/>
      <w:bookmarkEnd w:id="23"/>
    </w:p>
    <w:bookmarkEnd w:id="24"/>
    <w:bookmarkStart w:id="26" w:name="record-adoption"/>
    <w:p>
      <w:pPr>
        <w:pStyle w:val="Heading3"/>
      </w:pPr>
      <w:r>
        <w:t xml:space="preserve">5. Record adoption</w:t>
      </w:r>
    </w:p>
    <w:p>
      <w:pPr>
        <w:pStyle w:val="FirstParagraph"/>
      </w:pPr>
      <w:r>
        <w:t xml:space="preserve">Record the actual authorized meeting decision with its adoption</w:t>
      </w:r>
      <w:r>
        <w:t xml:space="preserve"> </w:t>
      </w:r>
      <w:r>
        <w:t xml:space="preserve">context. An unrelated motion, packet or draft minutes does not establish</w:t>
      </w:r>
      <w:r>
        <w:t xml:space="preserve"> </w:t>
      </w:r>
      <w:r>
        <w:t xml:space="preserve">that the proposal was adopted.</w:t>
      </w:r>
    </w:p>
    <w:p>
      <w:pPr>
        <w:pStyle w:val="BodyText"/>
      </w:pPr>
      <w:bookmarkStart w:id="25" w:name="workflow-6"/>
      <w:bookmarkEnd w:id="25"/>
    </w:p>
    <w:bookmarkEnd w:id="26"/>
    <w:bookmarkStart w:id="28" w:name="codify-separately"/>
    <w:p>
      <w:pPr>
        <w:pStyle w:val="Heading3"/>
      </w:pPr>
      <w:r>
        <w:t xml:space="preserve">6. Codify separately</w:t>
      </w:r>
    </w:p>
    <w:p>
      <w:pPr>
        <w:pStyle w:val="FirstParagraph"/>
      </w:pPr>
      <w:r>
        <w:t xml:space="preserve">Review the adopted text and affected sections, then record the</w:t>
      </w:r>
      <w:r>
        <w:t xml:space="preserve"> </w:t>
      </w:r>
      <w:r>
        <w:t xml:space="preserve">distinct codification closeout. Preserve prior versions and the link to</w:t>
      </w:r>
      <w:r>
        <w:t xml:space="preserve"> </w:t>
      </w:r>
      <w:r>
        <w:t xml:space="preserve">adoption evidence.</w:t>
      </w:r>
    </w:p>
    <w:p>
      <w:pPr>
        <w:pStyle w:val="BodyText"/>
      </w:pPr>
      <w:bookmarkStart w:id="27" w:name="workflow-7"/>
      <w:bookmarkEnd w:id="27"/>
    </w:p>
    <w:bookmarkEnd w:id="28"/>
    <w:bookmarkStart w:id="29" w:name="share-the-right-version"/>
    <w:p>
      <w:pPr>
        <w:pStyle w:val="Heading3"/>
      </w:pPr>
      <w:r>
        <w:t xml:space="preserve">7. Share the right version</w:t>
      </w:r>
    </w:p>
    <w:p>
      <w:pPr>
        <w:pStyle w:val="FirstParagraph"/>
      </w:pPr>
      <w:r>
        <w:t xml:space="preserve">Select permitted source evidence downstream. If visibility or source</w:t>
      </w:r>
      <w:r>
        <w:t xml:space="preserve"> </w:t>
      </w:r>
      <w:r>
        <w:t xml:space="preserve">content changes, resolve the mismatch and select current evidence rather</w:t>
      </w:r>
      <w:r>
        <w:t xml:space="preserve"> </w:t>
      </w:r>
      <w:r>
        <w:t xml:space="preserve">than accepting a stale cached citation.</w:t>
      </w:r>
    </w:p>
    <w:bookmarkEnd w:id="29"/>
    <w:bookmarkStart w:id="30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0"/>
    <w:bookmarkEnd w:id="31"/>
    <w:bookmarkStart w:id="33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Receives Meetings decision evidence. Supplies permitted cited</w:t>
      </w:r>
      <w:r>
        <w:t xml:space="preserve"> </w:t>
      </w:r>
      <w:r>
        <w:t xml:space="preserve">material to Records, Zoning, Permitting and Inspections. Planning’s</w:t>
      </w:r>
      <w:r>
        <w:t xml:space="preserve"> </w:t>
      </w:r>
      <w:r>
        <w:t xml:space="preserve">selected installed evidence providers are Meetings and Zoning; no</w:t>
      </w:r>
      <w:r>
        <w:t xml:space="preserve"> </w:t>
      </w:r>
      <w:r>
        <w:t xml:space="preserve">separate direct Code connection is implied.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 complete supported source bundle, source and effective dates,</w:t>
            </w:r>
            <w:r>
              <w:t xml:space="preserve"> </w:t>
            </w:r>
            <w:r>
              <w:t xml:space="preserve">original file hashes and actual meeting adoption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Cited code text and history, exact exports, staff explanations with</w:t>
            </w:r>
            <w:r>
              <w:t xml:space="preserve"> </w:t>
            </w:r>
            <w:r>
              <w:t xml:space="preserve">source references and an explicit adoption/codification trail.</w:t>
            </w:r>
          </w:p>
        </w:tc>
      </w:tr>
    </w:tbl>
    <w:bookmarkStart w:id="32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An imported document is not automatically adopted law. Local imports</w:t>
      </w:r>
      <w:r>
        <w:t xml:space="preserve"> </w:t>
      </w:r>
      <w:r>
        <w:t xml:space="preserve">and orchestration do not establish a live agreement with every</w:t>
      </w:r>
      <w:r>
        <w:t xml:space="preserve"> </w:t>
      </w:r>
      <w:r>
        <w:t xml:space="preserve">commercial codifier. Human approval and authoritative source</w:t>
      </w:r>
      <w:r>
        <w:t xml:space="preserve"> </w:t>
      </w:r>
      <w:r>
        <w:t xml:space="preserve">applicability remain necessary.</w:t>
      </w:r>
    </w:p>
    <w:bookmarkEnd w:id="32"/>
    <w:bookmarkEnd w:id="33"/>
    <w:bookmarkStart w:id="37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Code architecture and evidence flow" title="" id="3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code-architec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Code architecture and evidence</w:t>
      </w:r>
      <w:r>
        <w:t xml:space="preserve"> </w:t>
      </w:r>
      <w:r>
        <w:t xml:space="preserve">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7"/>
    <w:bookmarkStart w:id="43" w:name="Xe05807e54d45c262bc55a5a323d6138ed28aa7b"/>
    <w:p>
      <w:pPr>
        <w:pStyle w:val="Heading2"/>
      </w:pPr>
      <w:r>
        <w:t xml:space="preserve">Cited</w:t>
      </w:r>
      <w:r>
        <w:t xml:space="preserve"> </w:t>
      </w:r>
      <w:r>
        <w:t xml:space="preserve">questions summaries and local synchronization</w:t>
      </w:r>
    </w:p>
    <w:bookmarkStart w:id="39" w:name="ask-against-an-actual-retained-section"/>
    <w:p>
      <w:pPr>
        <w:pStyle w:val="Heading3"/>
      </w:pPr>
      <w:r>
        <w:t xml:space="preserve">Ask against an actual</w:t>
      </w:r>
      <w:r>
        <w:t xml:space="preserve"> </w:t>
      </w:r>
      <w:r>
        <w:t xml:space="preserve">retained section</w:t>
      </w:r>
    </w:p>
    <w:p>
      <w:pPr>
        <w:pStyle w:val="FirstParagraph"/>
      </w:pPr>
      <w:r>
        <w:t xml:space="preserve">Import and inspect the complete source bundle first.</w:t>
      </w:r>
      <w:r>
        <w:t xml:space="preserve"> </w:t>
      </w:r>
      <w:r>
        <w:rPr>
          <w:b/>
          <w:bCs/>
        </w:rPr>
        <w:t xml:space="preserve">Import</w:t>
      </w:r>
      <w:r>
        <w:rPr>
          <w:b/>
          <w:bCs/>
        </w:rPr>
        <w:t xml:space="preserve"> </w:t>
      </w:r>
      <w:r>
        <w:rPr>
          <w:b/>
          <w:bCs/>
        </w:rPr>
        <w:t xml:space="preserve">submits directly</w:t>
      </w:r>
      <w:r>
        <w:t xml:space="preserve">; there is no separate preview/confirmation</w:t>
      </w:r>
      <w:r>
        <w:t xml:space="preserve"> </w:t>
      </w:r>
      <w:r>
        <w:t xml:space="preserve">screen in this Code UI. Check the JSON source envelope before pressing</w:t>
      </w:r>
      <w:r>
        <w:t xml:space="preserve"> </w:t>
      </w:r>
      <w:r>
        <w:t xml:space="preserve">Import, then inspect its saved import/provenance result.</w:t>
      </w:r>
    </w:p>
    <w:p>
      <w:pPr>
        <w:pStyle w:val="BodyText"/>
      </w:pPr>
      <w:r>
        <w:t xml:space="preserve">Use the existing question control or authenticated</w:t>
      </w:r>
      <w:r>
        <w:t xml:space="preserve"> </w:t>
      </w:r>
      <w:r>
        <w:rPr>
          <w:rStyle w:val="VerbatimChar"/>
        </w:rPr>
        <w:t xml:space="preserve">POST /desktop/v1/code/questions</w:t>
      </w:r>
      <w:r>
        <w:t xml:space="preserve">. A synthetic body is:</w:t>
      </w:r>
    </w:p>
    <w:bookmarkStart w:id="38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"question"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"What does the retained synthetic section require?"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"section_number"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"18.20.050"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"as_of"</w:t>
      </w:r>
      <w:r>
        <w:rPr>
          <w:rStyle w:val="FunctionTok"/>
        </w:rPr>
        <w:t xml:space="preserve">: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}</w:t>
      </w:r>
    </w:p>
    <w:bookmarkEnd w:id="38"/>
    <w:p>
      <w:pPr>
        <w:pStyle w:val="FirstParagraph"/>
      </w:pPr>
      <w:r>
        <w:t xml:space="preserve">The section number must resolve in the imported source, and an</w:t>
      </w:r>
      <w:r>
        <w:t xml:space="preserve"> </w:t>
      </w:r>
      <w:r>
        <w:t xml:space="preserve">optional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must be the intended effective date. Read</w:t>
      </w:r>
      <w:r>
        <w:t xml:space="preserve"> </w:t>
      </w:r>
      <w:r>
        <w:t xml:space="preserve">the answer and cited retained version together. Missing or ambiguous</w:t>
      </w:r>
      <w:r>
        <w:t xml:space="preserve"> </w:t>
      </w:r>
      <w:r>
        <w:t xml:space="preserve">authority is a review issue, not permission to invent a section. Save</w:t>
      </w:r>
      <w:r>
        <w:t xml:space="preserve"> </w:t>
      </w:r>
      <w:r>
        <w:t xml:space="preserve">staff interpretation notes separately from official section text.</w:t>
      </w:r>
    </w:p>
    <w:bookmarkEnd w:id="39"/>
    <w:bookmarkStart w:id="41" w:name="draft-and-approve-an-explanatory-summary"/>
    <w:p>
      <w:pPr>
        <w:pStyle w:val="Heading3"/>
      </w:pPr>
      <w:r>
        <w:t xml:space="preserve">Draft and approve an</w:t>
      </w:r>
      <w:r>
        <w:t xml:space="preserve"> </w:t>
      </w:r>
      <w:r>
        <w:t xml:space="preserve">explanatory summary</w:t>
      </w:r>
    </w:p>
    <w:p>
      <w:pPr>
        <w:pStyle w:val="FirstParagraph"/>
      </w:pPr>
      <w:r>
        <w:t xml:space="preserve">Obtain the actual section ID and version ID from lookup/history. Use</w:t>
      </w:r>
      <w:r>
        <w:t xml:space="preserve"> </w:t>
      </w:r>
      <w:r>
        <w:rPr>
          <w:rStyle w:val="VerbatimChar"/>
        </w:rPr>
        <w:t xml:space="preserve">POST /desktop/v1/code/sections/{section_id}/summaries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section_version_id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summary_text</w:t>
      </w:r>
      <w:r>
        <w:t xml:space="preserve">, optional</w:t>
      </w:r>
      <w:r>
        <w:t xml:space="preserve"> </w:t>
      </w:r>
      <w:r>
        <w:rPr>
          <w:rStyle w:val="VerbatimChar"/>
        </w:rPr>
        <w:t xml:space="preserve">language_code</w:t>
      </w:r>
      <w:r>
        <w:t xml:space="preserve"> </w:t>
      </w:r>
      <w:r>
        <w:t xml:space="preserve">(default</w:t>
      </w:r>
      <w:r>
        <w:t xml:space="preserve"> </w:t>
      </w:r>
      <w:r>
        <w:rPr>
          <w:rStyle w:val="VerbatimChar"/>
        </w:rPr>
        <w:t xml:space="preserve">en</w:t>
      </w:r>
      <w:r>
        <w:t xml:space="preserve">) and draft status.</w:t>
      </w:r>
      <w:r>
        <w:t xml:space="preserve"> </w:t>
      </w:r>
      <w:r>
        <w:t xml:space="preserve">For example:</w:t>
      </w:r>
    </w:p>
    <w:bookmarkStart w:id="40" w:name="cb2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"section_version_id"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"synthetic-replace-with-retained-version"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"summary_text"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explanatory draft for staff review."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"language_code"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"en"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"draft"</w:t>
      </w:r>
      <w:r>
        <w:rPr>
          <w:rStyle w:val="FunctionTok"/>
        </w:rPr>
        <w:t xml:space="preserve">}</w:t>
      </w:r>
    </w:p>
    <w:bookmarkEnd w:id="40"/>
    <w:p>
      <w:pPr>
        <w:pStyle w:val="FirstParagraph"/>
      </w:pPr>
      <w:r>
        <w:t xml:space="preserve">Reopen the section’s summaries, compare the draft with the cited</w:t>
      </w:r>
      <w:r>
        <w:t xml:space="preserve"> </w:t>
      </w:r>
      <w:r>
        <w:t xml:space="preserve">version, and use the separate</w:t>
      </w:r>
      <w:r>
        <w:t xml:space="preserve"> </w:t>
      </w:r>
      <w:r>
        <w:rPr>
          <w:rStyle w:val="VerbatimChar"/>
        </w:rPr>
        <w:t xml:space="preserve">/desktop/v1/code/summaries/{summary_id}/approve</w:t>
      </w:r>
      <w:r>
        <w:t xml:space="preserve"> </w:t>
      </w:r>
      <w:r>
        <w:t xml:space="preserve">operation</w:t>
      </w:r>
      <w:r>
        <w:t xml:space="preserve"> </w:t>
      </w:r>
      <w:r>
        <w:t xml:space="preserve">only after review. The summary is explanatory material, not a change to</w:t>
      </w:r>
      <w:r>
        <w:t xml:space="preserve"> </w:t>
      </w:r>
      <w:r>
        <w:t xml:space="preserve">adopted code. An approved summary does not record legislative adoption</w:t>
      </w:r>
      <w:r>
        <w:t xml:space="preserve"> </w:t>
      </w:r>
      <w:r>
        <w:t xml:space="preserve">or complete codification.</w:t>
      </w:r>
    </w:p>
    <w:bookmarkEnd w:id="41"/>
    <w:bookmarkStart w:id="42" w:name="Xb969aa826c3ffaeceb1cdda1732401ffa34dfde"/>
    <w:p>
      <w:pPr>
        <w:pStyle w:val="Heading3"/>
      </w:pPr>
      <w:r>
        <w:t xml:space="preserve">Operate the</w:t>
      </w:r>
      <w:r>
        <w:t xml:space="preserve"> </w:t>
      </w:r>
      <w:r>
        <w:t xml:space="preserve">existing local codifier contract</w:t>
      </w:r>
    </w:p>
    <w:p>
      <w:pPr>
        <w:pStyle w:val="FirstParagraph"/>
      </w:pPr>
      <w:r>
        <w:t xml:space="preserve">The local synchronization orchestrator exists in the</w:t>
      </w:r>
      <w:r>
        <w:t xml:space="preserve"> </w:t>
      </w:r>
      <w:r>
        <w:rPr>
          <w:b/>
          <w:bCs/>
        </w:rPr>
        <w:t xml:space="preserve">standalone Code application source</w:t>
      </w:r>
      <w:r>
        <w:t xml:space="preserve">. Its</w:t>
      </w:r>
      <w:r>
        <w:t xml:space="preserve"> </w:t>
      </w:r>
      <w:r>
        <w:rPr>
          <w:rStyle w:val="VerbatimChar"/>
        </w:rPr>
        <w:t xml:space="preserve">/api/v1/townlight_code/staff/sync/...</w:t>
      </w:r>
      <w:r>
        <w:t xml:space="preserve"> </w:t>
      </w:r>
      <w:r>
        <w:t xml:space="preserve">routes and</w:t>
      </w:r>
      <w:r>
        <w:t xml:space="preserve"> </w:t>
      </w:r>
      <w:r>
        <w:rPr>
          <w:rStyle w:val="VerbatimChar"/>
        </w:rPr>
        <w:t xml:space="preserve">/staff/sync</w:t>
      </w:r>
      <w:r>
        <w:t xml:space="preserve"> </w:t>
      </w:r>
      <w:r>
        <w:t xml:space="preserve">page are not mounted merely because the</w:t>
      </w:r>
      <w:r>
        <w:t xml:space="preserve"> </w:t>
      </w:r>
      <w:r>
        <w:t xml:space="preserve">Townlight desktop Code workspace is enabled. Use them only in an already</w:t>
      </w:r>
      <w:r>
        <w:t xml:space="preserve"> </w:t>
      </w:r>
      <w:r>
        <w:t xml:space="preserve">configured standalone deployment with genuine staff access. The</w:t>
      </w:r>
      <w:r>
        <w:t xml:space="preserve"> </w:t>
      </w:r>
      <w:r>
        <w:t xml:space="preserve">role/actor headers in its source are a trusted deployment boundary, not</w:t>
      </w:r>
      <w:r>
        <w:t xml:space="preserve"> </w:t>
      </w:r>
      <w:r>
        <w:t xml:space="preserve">credentials for an arbitrary client to invent. This guide does not ask</w:t>
      </w:r>
      <w:r>
        <w:t xml:space="preserve"> </w:t>
      </w:r>
      <w:r>
        <w:t xml:space="preserve">you to deploy another server for the desktop beta.</w:t>
      </w:r>
    </w:p>
    <w:p>
      <w:pPr>
        <w:pStyle w:val="Compact"/>
        <w:numPr>
          <w:ilvl w:val="0"/>
          <w:numId w:val="1005"/>
        </w:numPr>
      </w:pPr>
      <w:r>
        <w:t xml:space="preserve">Register the actual official source through that application’s</w:t>
      </w:r>
      <w:r>
        <w:t xml:space="preserve"> </w:t>
      </w:r>
      <w:r>
        <w:t xml:space="preserve">source registry, preserving its vendor, official URL and source</w:t>
      </w:r>
      <w:r>
        <w:t xml:space="preserve"> </w:t>
      </w:r>
      <w:r>
        <w:t xml:space="preserve">identity. Retain the returned</w:t>
      </w:r>
      <w:r>
        <w:t xml:space="preserve"> </w:t>
      </w:r>
      <w:r>
        <w:rPr>
          <w:rStyle w:val="VerbatimChar"/>
        </w:rPr>
        <w:t xml:space="preserve">source_id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Configure</w:t>
      </w:r>
      <w:r>
        <w:t xml:space="preserve"> </w:t>
      </w:r>
      <w:r>
        <w:rPr>
          <w:rStyle w:val="VerbatimChar"/>
        </w:rPr>
        <w:t xml:space="preserve">/api/v1/townlight_code/staff/sync/codifier-sources</w:t>
      </w:r>
      <w:r>
        <w:t xml:space="preserve"> </w:t>
      </w:r>
      <w:r>
        <w:t xml:space="preserve">with</w:t>
      </w:r>
      <w:r>
        <w:t xml:space="preserve"> </w:t>
      </w:r>
      <w:r>
        <w:t xml:space="preserve">that ID,</w:t>
      </w:r>
      <w:r>
        <w:t xml:space="preserve"> </w:t>
      </w:r>
      <w:r>
        <w:rPr>
          <w:rStyle w:val="VerbatimChar"/>
        </w:rPr>
        <w:t xml:space="preserve">sync_schedule</w:t>
      </w:r>
      <w:r>
        <w:t xml:space="preserve"> </w:t>
      </w:r>
      <w:r>
        <w:t xml:space="preserve">and reviewed</w:t>
      </w:r>
      <w:r>
        <w:t xml:space="preserve"> </w:t>
      </w:r>
      <w:r>
        <w:rPr>
          <w:rStyle w:val="VerbatimChar"/>
        </w:rPr>
        <w:t xml:space="preserve">allowlisted_hosts</w:t>
      </w:r>
      <w:r>
        <w:t xml:space="preserve">. Use a standard five-field cron</w:t>
      </w:r>
      <w:r>
        <w:t xml:space="preserve"> </w:t>
      </w:r>
      <w:r>
        <w:t xml:space="preserve">expression no more frequent than every 15 minutes; for example</w:t>
      </w:r>
      <w:r>
        <w:t xml:space="preserve"> </w:t>
      </w:r>
      <w:r>
        <w:rPr>
          <w:rStyle w:val="VerbatimChar"/>
        </w:rPr>
        <w:t xml:space="preserve">0 3 * * *</w:t>
      </w:r>
      <w:r>
        <w:t xml:space="preserve">. A synthetic configure body is</w:t>
      </w:r>
      <w:r>
        <w:t xml:space="preserve"> </w:t>
      </w:r>
      <w:r>
        <w:rPr>
          <w:rStyle w:val="VerbatimChar"/>
        </w:rPr>
        <w:t xml:space="preserve">{"source_id":"replace-with-registered-synthetic-id","sync_schedule":"0 3 * * *","allowlisted_hosts":[]}</w:t>
      </w:r>
      <w:r>
        <w:t xml:space="preserve">.</w:t>
      </w:r>
      <w:r>
        <w:t xml:space="preserve"> </w:t>
      </w:r>
      <w:r>
        <w:t xml:space="preserve">A reviewed intended on-prem host needs its explicit source-specific</w:t>
      </w:r>
      <w:r>
        <w:t xml:space="preserve"> </w:t>
      </w:r>
      <w:r>
        <w:t xml:space="preserve">allowlist; this does not bypass URL safety.</w:t>
      </w:r>
    </w:p>
    <w:p>
      <w:pPr>
        <w:pStyle w:val="Compact"/>
        <w:numPr>
          <w:ilvl w:val="0"/>
          <w:numId w:val="1005"/>
        </w:numPr>
      </w:pPr>
      <w:r>
        <w:t xml:space="preserve">Read the configured source list and</w:t>
      </w:r>
      <w:r>
        <w:t xml:space="preserve"> </w:t>
      </w:r>
      <w:r>
        <w:rPr>
          <w:rStyle w:val="VerbatimChar"/>
        </w:rPr>
        <w:t xml:space="preserve">/staff/sync</w:t>
      </w:r>
      <w:r>
        <w:t xml:space="preserve">. Check</w:t>
      </w:r>
      <w:r>
        <w:t xml:space="preserve"> </w:t>
      </w:r>
      <w:r>
        <w:t xml:space="preserve">host validation, circuit-breaker state, delta/cursor readiness and</w:t>
      </w:r>
      <w:r>
        <w:t xml:space="preserve"> </w:t>
      </w:r>
      <w:r>
        <w:t xml:space="preserve">recorded run history. A configured source is not proof of a vendor</w:t>
      </w:r>
      <w:r>
        <w:t xml:space="preserve"> </w:t>
      </w:r>
      <w:r>
        <w:t xml:space="preserve">network connection.</w:t>
      </w:r>
    </w:p>
    <w:p>
      <w:pPr>
        <w:pStyle w:val="Compact"/>
        <w:numPr>
          <w:ilvl w:val="0"/>
          <w:numId w:val="1005"/>
        </w:numPr>
      </w:pPr>
      <w:r>
        <w:t xml:space="preserve">Submit a</w:t>
      </w:r>
      <w:r>
        <w:t xml:space="preserve"> </w:t>
      </w:r>
      <w:r>
        <w:rPr>
          <w:b/>
          <w:bCs/>
        </w:rPr>
        <w:t xml:space="preserve">local complete import payload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/api/v1/townlight_code/staff/sync/codifier-sources/{source_id}/run</w:t>
      </w:r>
      <w:r>
        <w:t xml:space="preserve">.</w:t>
      </w:r>
      <w:r>
        <w:t xml:space="preserve"> </w:t>
      </w:r>
      <w:r>
        <w:t xml:space="preserve">The body is</w:t>
      </w:r>
      <w:r>
        <w:t xml:space="preserve"> </w:t>
      </w:r>
      <w:r>
        <w:rPr>
          <w:rStyle w:val="VerbatimChar"/>
        </w:rPr>
        <w:t xml:space="preserve">{"payload": &lt;complete ImportBundleCreate&gt;, "changed_since": null}</w:t>
      </w:r>
      <w:r>
        <w:t xml:space="preserve">.</w:t>
      </w:r>
      <w:r>
        <w:t xml:space="preserve"> </w:t>
      </w:r>
      <w:r>
        <w:t xml:space="preserve">Use the full synthetic code-bundle example in the reference directory as</w:t>
      </w:r>
      <w:r>
        <w:t xml:space="preserve"> </w:t>
      </w:r>
      <w:r>
        <w:t xml:space="preserve">the payload, replacing source identity only with a registered synthetic</w:t>
      </w:r>
      <w:r>
        <w:t xml:space="preserve"> </w:t>
      </w:r>
      <w:r>
        <w:t xml:space="preserve">source from this exercise.</w:t>
      </w:r>
    </w:p>
    <w:p>
      <w:pPr>
        <w:pStyle w:val="Compact"/>
        <w:numPr>
          <w:ilvl w:val="0"/>
          <w:numId w:val="1005"/>
        </w:numPr>
      </w:pPr>
      <w:r>
        <w:t xml:space="preserve">Retain the run/import identity, inspect import status, sections,</w:t>
      </w:r>
      <w:r>
        <w:t xml:space="preserve"> </w:t>
      </w:r>
      <w:r>
        <w:t xml:space="preserve">source hash and recorded cursor/history, and resolve circuit/readiness</w:t>
      </w:r>
      <w:r>
        <w:t xml:space="preserve"> </w:t>
      </w:r>
      <w:r>
        <w:t xml:space="preserve">refusals before another run. An unknown result requires readback, not</w:t>
      </w:r>
      <w:r>
        <w:t xml:space="preserve"> </w:t>
      </w:r>
      <w:r>
        <w:t xml:space="preserve">blind resubmission. This operation does not itself fetch every</w:t>
      </w:r>
      <w:r>
        <w:t xml:space="preserve"> </w:t>
      </w:r>
      <w:r>
        <w:t xml:space="preserve">commercial codifier or automatically codify an ordinance.</w:t>
      </w:r>
    </w:p>
    <w:p>
      <w:pPr>
        <w:pStyle w:val="FirstParagraph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townlight_runtime/code_bridge.py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townlight_code/main.py</w:t>
      </w:r>
      <w:r>
        <w:t xml:space="preserve">,</w:t>
      </w:r>
      <w:r>
        <w:t xml:space="preserve"> </w:t>
      </w:r>
      <w:r>
        <w:rPr>
          <w:rStyle w:val="VerbatimChar"/>
        </w:rPr>
        <w:t xml:space="preserve">codifier_sync.py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staff_sync.py</w:t>
      </w:r>
      <w:r>
        <w:t xml:space="preserve">. Standalone request signatures and refusals</w:t>
      </w:r>
      <w:r>
        <w:t xml:space="preserve"> </w:t>
      </w:r>
      <w:r>
        <w:t xml:space="preserve">remain in the Code API source supplement.</w:t>
      </w:r>
    </w:p>
    <w:bookmarkEnd w:id="42"/>
    <w:bookmarkEnd w:id="43"/>
    <w:bookmarkStart w:id="49" w:name="technical-specifications"/>
    <w:p>
      <w:pPr>
        <w:pStyle w:val="Heading2"/>
      </w:pPr>
      <w:r>
        <w:t xml:space="preserve">Technical specifications</w:t>
      </w:r>
    </w:p>
    <w:bookmarkStart w:id="44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4"/>
    <w:bookmarkStart w:id="45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Source registry entries; import jobs and originals; sections and</w:t>
      </w:r>
      <w:r>
        <w:t xml:space="preserve"> </w:t>
      </w:r>
      <w:r>
        <w:t xml:space="preserve">versions; effective-date citations; questions, notes and summaries;</w:t>
      </w:r>
      <w:r>
        <w:t xml:space="preserve"> </w:t>
      </w:r>
      <w:r>
        <w:t xml:space="preserve">Meetings connections; adoption and codification closeout.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5"/>
    <w:bookmarkStart w:id="48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6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7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8"/>
    <w:bookmarkEnd w:id="49"/>
    <w:bookmarkStart w:id="51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0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0"/>
    <w:bookmarkEnd w:id="51"/>
    <w:bookmarkStart w:id="64" w:name="api-and-integration-examples"/>
    <w:p>
      <w:pPr>
        <w:pStyle w:val="Heading2"/>
      </w:pPr>
      <w:r>
        <w:t xml:space="preserve">API and integration examples</w:t>
      </w:r>
    </w:p>
    <w:bookmarkStart w:id="53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2" w:name="cb3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'code_domain_request'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'citation'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section_number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'18.20.050'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as_of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2"/>
    <w:bookmarkEnd w:id="53"/>
    <w:bookmarkStart w:id="55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4" w:name="cb4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'http://127.0.0.1:15480/desktop/v1/code/sources'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4"/>
    <w:bookmarkEnd w:id="55"/>
    <w:bookmarkStart w:id="57" w:name="complete-synthetic-source-bundle"/>
    <w:p>
      <w:pPr>
        <w:pStyle w:val="Heading3"/>
      </w:pPr>
      <w:r>
        <w:t xml:space="preserve">Complete synthetic source</w:t>
      </w:r>
      <w:r>
        <w:t xml:space="preserve"> </w:t>
      </w:r>
      <w:r>
        <w:t xml:space="preserve">bundle</w:t>
      </w:r>
    </w:p>
    <w:p>
      <w:pPr>
        <w:pStyle w:val="FirstParagraph"/>
      </w:pPr>
      <w:r>
        <w:t xml:space="preserve">The</w:t>
      </w:r>
      <w:r>
        <w:t xml:space="preserve"> </w:t>
      </w:r>
      <w:hyperlink r:id="rId56">
        <w:r>
          <w:rPr>
            <w:rStyle w:val="Hyperlink"/>
          </w:rPr>
          <w:t xml:space="preserve">synthetic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Code bundle</w:t>
        </w:r>
      </w:hyperlink>
      <w:r>
        <w:t xml:space="preserve"> </w:t>
      </w:r>
      <w:r>
        <w:t xml:space="preserve">is the retained fixture used by the beta staff exercise.</w:t>
      </w:r>
      <w:r>
        <w:t xml:space="preserve"> </w:t>
      </w:r>
      <w:r>
        <w:t xml:space="preserve">It includes the complete supported source envelope rather than a</w:t>
      </w:r>
      <w:r>
        <w:t xml:space="preserve"> </w:t>
      </w:r>
      <w:r>
        <w:t xml:space="preserve">shortened pseudo-payload. Keep its fictional source labels. For</w:t>
      </w:r>
      <w:r>
        <w:t xml:space="preserve"> </w:t>
      </w:r>
      <w:r>
        <w:t xml:space="preserve">Planning, wrap it as</w:t>
      </w:r>
      <w:r>
        <w:t xml:space="preserve"> </w:t>
      </w:r>
      <w:r>
        <w:rPr>
          <w:rStyle w:val="VerbatimChar"/>
        </w:rPr>
        <w:t xml:space="preserve">{"bundle": BUNDLE, "expected_previous_revision": null}</w:t>
      </w:r>
      <w:r>
        <w:t xml:space="preserve">; for</w:t>
      </w:r>
      <w:r>
        <w:t xml:space="preserve"> </w:t>
      </w:r>
      <w:r>
        <w:t xml:space="preserve">Permitting use</w:t>
      </w:r>
      <w:r>
        <w:t xml:space="preserve"> </w:t>
      </w:r>
      <w:r>
        <w:rPr>
          <w:rStyle w:val="VerbatimChar"/>
        </w:rPr>
        <w:t xml:space="preserve">{"bundle": BUNDLE, "expected_revision": null}</w:t>
      </w:r>
      <w:r>
        <w:t xml:space="preserve">. Code and</w:t>
      </w:r>
      <w:r>
        <w:t xml:space="preserve"> </w:t>
      </w:r>
      <w:r>
        <w:t xml:space="preserve">Zoning take their own complete import envelopes. Replace null with the</w:t>
      </w:r>
      <w:r>
        <w:t xml:space="preserve"> </w:t>
      </w:r>
      <w:r>
        <w:t xml:space="preserve">current expected revision when revising an existing source, as the</w:t>
      </w:r>
      <w:r>
        <w:t xml:space="preserve"> </w:t>
      </w:r>
      <w:r>
        <w:t xml:space="preserve">applicable schema requires. These are import examples, not legal</w:t>
      </w:r>
      <w:r>
        <w:t xml:space="preserve"> </w:t>
      </w:r>
      <w:r>
        <w:t xml:space="preserve">authority or permission to load them into a live city profile.</w:t>
      </w:r>
    </w:p>
    <w:bookmarkEnd w:id="57"/>
    <w:bookmarkStart w:id="59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8" w:name="cb5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8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59"/>
    <w:bookmarkStart w:id="63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60">
        <w:r>
          <w:rPr>
            <w:rStyle w:val="Hyperlink"/>
          </w:rPr>
          <w:t xml:space="preserve">Code API reference</w:t>
        </w:r>
      </w:hyperlink>
      <w:r>
        <w:t xml:space="preserve"> </w:t>
      </w:r>
      <w:r>
        <w:t xml:space="preserve">for every documented operation, request field, constraint, response</w:t>
      </w:r>
      <w:r>
        <w:t xml:space="preserve"> </w:t>
      </w:r>
      <w:r>
        <w:t xml:space="preserve">declaration and source supplement. Download the</w:t>
      </w:r>
      <w:r>
        <w:t xml:space="preserve"> </w:t>
      </w:r>
      <w:hyperlink r:id="rId61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 For</w:t>
      </w:r>
      <w:r>
        <w:t xml:space="preserve"> </w:t>
      </w:r>
      <w:r>
        <w:t xml:space="preserve">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62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3"/>
    <w:bookmarkEnd w:id="64"/>
    <w:bookmarkStart w:id="67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5" w:name="cb6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5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6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7"/>
    <w:bookmarkStart w:id="68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8"/>
    <w:bookmarkStart w:id="69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69"/>
    <w:bookmarkStart w:id="70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70"/>
    <w:bookmarkStart w:id="72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Synthetic official source import, exact citation/history/export;</w:t>
            </w:r>
            <w:r>
              <w:t xml:space="preserve"> </w:t>
            </w:r>
            <w:r>
              <w:t xml:space="preserve">proposal into Meetings, recorded adoption and separately codified</w:t>
            </w:r>
            <w:r>
              <w:t xml:space="preserve"> </w:t>
            </w:r>
            <w:r>
              <w:t xml:space="preserve">version; native connection readback.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1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2"/>
    <w:bookmarkStart w:id="84" w:name="terms-of-service-and-license"/>
    <w:p>
      <w:pPr>
        <w:pStyle w:val="Heading2"/>
      </w:pPr>
      <w:r>
        <w:t xml:space="preserve">Terms of service and license</w:t>
      </w:r>
    </w:p>
    <w:bookmarkStart w:id="73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3"/>
    <w:bookmarkStart w:id="76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4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5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6"/>
    <w:bookmarkStart w:id="77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7"/>
    <w:bookmarkStart w:id="78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8"/>
    <w:bookmarkStart w:id="79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79"/>
    <w:bookmarkStart w:id="80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80"/>
    <w:bookmarkStart w:id="81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1"/>
    <w:bookmarkStart w:id="82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2"/>
    <w:bookmarkStart w:id="83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3"/>
    <w:bookmarkEnd w:id="84"/>
    <w:bookmarkStart w:id="85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5"/>
    <w:bookmarkStart w:id="87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6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Ask against an actual retained section</w:t>
      </w:r>
      <w:r>
        <w:t xml:space="preserve"> </w:t>
      </w:r>
      <w:r>
        <w:t xml:space="preserve">—</w:t>
      </w:r>
      <w:r>
        <w:t xml:space="preserve"> </w:t>
      </w:r>
      <w:hyperlink w:anchor="ask-against-an-actual-retained-section">
        <w:r>
          <w:rPr>
            <w:rStyle w:val="Hyperlink"/>
          </w:rPr>
          <w:t xml:space="preserve">Ask against an actual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retained section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Cited questions summaries and local synchronization</w:t>
      </w:r>
      <w:r>
        <w:t xml:space="preserve"> </w:t>
      </w:r>
      <w:r>
        <w:t xml:space="preserve">—</w:t>
      </w:r>
      <w:r>
        <w:t xml:space="preserve"> </w:t>
      </w:r>
      <w:hyperlink w:anchor="Xe05807e54d45c262bc55a5a323d6138ed28aa7b">
        <w:r>
          <w:rPr>
            <w:rStyle w:val="Hyperlink"/>
          </w:rPr>
          <w:t xml:space="preserve">Cited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questions summaries and local synchronization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Draft and approve an explanatory summary</w:t>
      </w:r>
      <w:r>
        <w:t xml:space="preserve"> </w:t>
      </w:r>
      <w:r>
        <w:t xml:space="preserve">—</w:t>
      </w:r>
      <w:r>
        <w:t xml:space="preserve"> </w:t>
      </w:r>
      <w:hyperlink w:anchor="draft-and-approve-an-explanatory-summary">
        <w:r>
          <w:rPr>
            <w:rStyle w:val="Hyperlink"/>
          </w:rPr>
          <w:t xml:space="preserve">Draft and approve an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explanatory summary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Operate the existing local codifier contract</w:t>
      </w:r>
      <w:r>
        <w:t xml:space="preserve"> </w:t>
      </w:r>
      <w:r>
        <w:t xml:space="preserve">—</w:t>
      </w:r>
      <w:r>
        <w:t xml:space="preserve"> </w:t>
      </w:r>
      <w:hyperlink w:anchor="Xb969aa826c3ffaeceb1cdda1732401ffa34dfde">
        <w:r>
          <w:rPr>
            <w:rStyle w:val="Hyperlink"/>
          </w:rPr>
          <w:t xml:space="preserve">Operate the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existing local codifier contract</w:t>
        </w:r>
      </w:hyperlink>
      <w:r>
        <w:t xml:space="preserve">.</w:t>
      </w:r>
    </w:p>
    <w:bookmarkEnd w:id="86"/>
    <w:bookmarkEnd w:id="87"/>
    <w:bookmarkStart w:id="93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2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Codify separately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6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Connect a proposal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4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Find the exact section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 workflow, step 2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Import a source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1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Inspect provenance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3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Record adoption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5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Share the right version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 workflow, step 7</w:t>
        </w:r>
      </w:hyperlink>
      <w:r>
        <w:t xml:space="preserve">.</w:t>
      </w:r>
    </w:p>
    <w:p>
      <w:pPr>
        <w:numPr>
          <w:ilvl w:val="0"/>
          <w:numId w:val="1008"/>
        </w:numPr>
      </w:pPr>
      <w:hyperlink r:id="rId88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8"/>
        </w:numPr>
      </w:pPr>
      <w:hyperlink r:id="rId89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8"/>
        </w:numPr>
      </w:pPr>
      <w:hyperlink r:id="rId90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8"/>
        </w:numPr>
      </w:pPr>
      <w:hyperlink r:id="rId91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1" Target="https://townlight.github.io/api/code-openapi.json" TargetMode="External" /><Relationship Type="http://schemas.openxmlformats.org/officeDocument/2006/relationships/hyperlink" Id="rId60" Target="https://townlight.github.io/api/code.html" TargetMode="External" /><Relationship Type="http://schemas.openxmlformats.org/officeDocument/2006/relationships/hyperlink" Id="rId91" Target="https://townlight.github.io/reference/AGPL-3.0.txt" TargetMode="External" /><Relationship Type="http://schemas.openxmlformats.org/officeDocument/2006/relationships/hyperlink" Id="rId47" Target="https://townlight.github.io/reference/component-metadata.json" TargetMode="External" /><Relationship Type="http://schemas.openxmlformats.org/officeDocument/2006/relationships/hyperlink" Id="rId89" Target="https://townlight.github.io/reference/desktop-domain-openapi.json" TargetMode="External" /><Relationship Type="http://schemas.openxmlformats.org/officeDocument/2006/relationships/hyperlink" Id="rId56" Target="https://townlight.github.io/reference/examples/synthetic-code-bundle.json" TargetMode="External" /><Relationship Type="http://schemas.openxmlformats.org/officeDocument/2006/relationships/hyperlink" Id="rId62" Target="https://townlight.github.io/reference/index.html" TargetMode="External" /><Relationship Type="http://schemas.openxmlformats.org/officeDocument/2006/relationships/hyperlink" Id="rId66" Target="https://townlight.github.io/reference/mcp.html" TargetMode="External" /><Relationship Type="http://schemas.openxmlformats.org/officeDocument/2006/relationships/hyperlink" Id="rId46" Target="https://townlight.github.io/reference/runtime-payload-lock.json" TargetMode="External" /><Relationship Type="http://schemas.openxmlformats.org/officeDocument/2006/relationships/hyperlink" Id="rId71" Target="https://townlight.github.io/reference/sandbox-evidence-index.json" TargetMode="External" /><Relationship Type="http://schemas.openxmlformats.org/officeDocument/2006/relationships/hyperlink" Id="rId88" Target="https://townlight.github.io/reference/source-inventory.json" TargetMode="External" /><Relationship Type="http://schemas.openxmlformats.org/officeDocument/2006/relationships/hyperlink" Id="rId90" Target="https://townlight.github.io/reference/workflow-matrix.json" TargetMode="External" /><Relationship Type="http://schemas.openxmlformats.org/officeDocument/2006/relationships/hyperlink" Id="rId74" Target="https://www.gnu.org/licenses/agpl-3.0.html" TargetMode="External" /><Relationship Type="http://schemas.openxmlformats.org/officeDocument/2006/relationships/hyperlink" Id="rId75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1" Target="https://townlight.github.io/api/code-openapi.json" TargetMode="External" /><Relationship Type="http://schemas.openxmlformats.org/officeDocument/2006/relationships/hyperlink" Id="rId60" Target="https://townlight.github.io/api/code.html" TargetMode="External" /><Relationship Type="http://schemas.openxmlformats.org/officeDocument/2006/relationships/hyperlink" Id="rId91" Target="https://townlight.github.io/reference/AGPL-3.0.txt" TargetMode="External" /><Relationship Type="http://schemas.openxmlformats.org/officeDocument/2006/relationships/hyperlink" Id="rId47" Target="https://townlight.github.io/reference/component-metadata.json" TargetMode="External" /><Relationship Type="http://schemas.openxmlformats.org/officeDocument/2006/relationships/hyperlink" Id="rId89" Target="https://townlight.github.io/reference/desktop-domain-openapi.json" TargetMode="External" /><Relationship Type="http://schemas.openxmlformats.org/officeDocument/2006/relationships/hyperlink" Id="rId56" Target="https://townlight.github.io/reference/examples/synthetic-code-bundle.json" TargetMode="External" /><Relationship Type="http://schemas.openxmlformats.org/officeDocument/2006/relationships/hyperlink" Id="rId62" Target="https://townlight.github.io/reference/index.html" TargetMode="External" /><Relationship Type="http://schemas.openxmlformats.org/officeDocument/2006/relationships/hyperlink" Id="rId66" Target="https://townlight.github.io/reference/mcp.html" TargetMode="External" /><Relationship Type="http://schemas.openxmlformats.org/officeDocument/2006/relationships/hyperlink" Id="rId46" Target="https://townlight.github.io/reference/runtime-payload-lock.json" TargetMode="External" /><Relationship Type="http://schemas.openxmlformats.org/officeDocument/2006/relationships/hyperlink" Id="rId71" Target="https://townlight.github.io/reference/sandbox-evidence-index.json" TargetMode="External" /><Relationship Type="http://schemas.openxmlformats.org/officeDocument/2006/relationships/hyperlink" Id="rId88" Target="https://townlight.github.io/reference/source-inventory.json" TargetMode="External" /><Relationship Type="http://schemas.openxmlformats.org/officeDocument/2006/relationships/hyperlink" Id="rId90" Target="https://townlight.github.io/reference/workflow-matrix.json" TargetMode="External" /><Relationship Type="http://schemas.openxmlformats.org/officeDocument/2006/relationships/hyperlink" Id="rId74" Target="https://www.gnu.org/licenses/agpl-3.0.html" TargetMode="External" /><Relationship Type="http://schemas.openxmlformats.org/officeDocument/2006/relationships/hyperlink" Id="rId75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Code Manual</dc:title>
  <dc:creator/>
  <cp:keywords/>
  <dcterms:created xsi:type="dcterms:W3CDTF">2026-11-04T06:03:14Z</dcterms:created>
  <dcterms:modified xsi:type="dcterms:W3CDTF">2026-11-04T06:03:14Z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