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Townlight Access Manual</w:t>
      </w:r>
    </w:p>
    <w:p>
      <w:pPr>
        <w:pStyle w:val="FirstParagraph"/>
      </w:pPr>
      <w:r>
        <w:t xml:space="preserve">Windows x64 Beta 1 · MSI 1.7.0.1</w:t>
      </w:r>
    </w:p>
    <w:p>
      <w:pPr>
        <w:pStyle w:val="BodyText"/>
      </w:pPr>
      <w:r>
        <w:t xml:space="preserve">The signed</w:t>
      </w:r>
      <w:r>
        <w:t xml:space="preserve"> </w:t>
      </w:r>
      <w:hyperlink r:id="rId9">
        <w:r>
          <w:rPr>
            <w:rStyle w:val="Hyperlink"/>
          </w:rPr>
          <w:t xml:space="preserve">Windows x64 beta 1.7.0.1</w:t>
        </w:r>
      </w:hyperlink>
      <w:r>
        <w:t xml:space="preserve"> </w:t>
      </w:r>
      <w:r>
        <w:t xml:space="preserve">passed the documented fresh Windows Sandbox checks with synthetic data.</w:t>
      </w:r>
    </w:p>
    <w:p>
      <w:pPr>
        <w:pStyle w:val="Compact"/>
        <w:numPr>
          <w:ilvl w:val="0"/>
          <w:numId w:val="1001"/>
        </w:numPr>
      </w:pPr>
      <w:hyperlink w:anchor="townlight-access-user-manual">
        <w:r>
          <w:rPr>
            <w:rStyle w:val="Hyperlink"/>
          </w:rPr>
          <w:t xml:space="preserve">Townlight Access User Manual</w:t>
        </w:r>
      </w:hyperlink>
    </w:p>
    <w:p>
      <w:pPr>
        <w:pStyle w:val="Compact"/>
        <w:numPr>
          <w:ilvl w:val="1"/>
          <w:numId w:val="1002"/>
        </w:numPr>
      </w:pPr>
      <w:hyperlink w:anchor="windows-staff-workflow-0.5.0-candidate">
        <w:r>
          <w:rPr>
            <w:rStyle w:val="Hyperlink"/>
          </w:rPr>
          <w:t xml:space="preserve">Windows staff workflow —</w:t>
        </w:r>
        <w:r>
          <w:rPr>
            <w:rStyle w:val="Hyperlink"/>
          </w:rPr>
          <w:t xml:space="preserve"> </w:t>
        </w:r>
        <w:r>
          <w:rPr>
            <w:rStyle w:val="Hyperlink"/>
          </w:rPr>
          <w:t xml:space="preserve">0.5.0</w:t>
        </w:r>
      </w:hyperlink>
    </w:p>
    <w:p>
      <w:pPr>
        <w:pStyle w:val="Compact"/>
        <w:numPr>
          <w:ilvl w:val="1"/>
          <w:numId w:val="1002"/>
        </w:numPr>
      </w:pPr>
      <w:hyperlink w:anchor="standalone-support-service">
        <w:r>
          <w:rPr>
            <w:rStyle w:val="Hyperlink"/>
          </w:rPr>
          <w:t xml:space="preserve">Standalone support service</w:t>
        </w:r>
      </w:hyperlink>
    </w:p>
    <w:p>
      <w:pPr>
        <w:pStyle w:val="Compact"/>
        <w:numPr>
          <w:ilvl w:val="1"/>
          <w:numId w:val="1002"/>
        </w:numPr>
      </w:pPr>
      <w:hyperlink w:anchor="part-1-for-civic-staff">
        <w:r>
          <w:rPr>
            <w:rStyle w:val="Hyperlink"/>
          </w:rPr>
          <w:t xml:space="preserve">Part 1 — For Civic Staff</w:t>
        </w:r>
      </w:hyperlink>
    </w:p>
    <w:p>
      <w:pPr>
        <w:pStyle w:val="Compact"/>
        <w:numPr>
          <w:ilvl w:val="1"/>
          <w:numId w:val="1002"/>
        </w:numPr>
      </w:pPr>
      <w:hyperlink w:anchor="part-2-for-it-technical-staff">
        <w:r>
          <w:rPr>
            <w:rStyle w:val="Hyperlink"/>
          </w:rPr>
          <w:t xml:space="preserve">Part 2 — For IT &amp; Technical</w:t>
        </w:r>
        <w:r>
          <w:rPr>
            <w:rStyle w:val="Hyperlink"/>
          </w:rPr>
          <w:t xml:space="preserve"> </w:t>
        </w:r>
        <w:r>
          <w:rPr>
            <w:rStyle w:val="Hyperlink"/>
          </w:rPr>
          <w:t xml:space="preserve">Staff</w:t>
        </w:r>
      </w:hyperlink>
    </w:p>
    <w:p>
      <w:pPr>
        <w:pStyle w:val="FirstParagraph"/>
      </w:pPr>
      <w:bookmarkStart w:id="10" w:name="townlight_access-user-manual"/>
      <w:bookmarkEnd w:id="10"/>
    </w:p>
    <w:bookmarkStart w:id="33" w:name="townlight-access-user-manual"/>
    <w:p>
      <w:pPr>
        <w:pStyle w:val="Heading1"/>
      </w:pPr>
      <w:r>
        <w:t xml:space="preserve">Townlight Access User Manual</w:t>
      </w:r>
    </w:p>
    <w:bookmarkStart w:id="12" w:name="windows-staff-workflow-0.5.0-candidate"/>
    <w:p>
      <w:pPr>
        <w:pStyle w:val="Heading2"/>
      </w:pPr>
      <w:r>
        <w:t xml:space="preserve">Windows staff workflow —</w:t>
      </w:r>
      <w:r>
        <w:t xml:space="preserve"> </w:t>
      </w:r>
      <w:r>
        <w:t xml:space="preserve">0.5.0</w:t>
      </w:r>
    </w:p>
    <w:p>
      <w:pPr>
        <w:pStyle w:val="FirstParagraph"/>
      </w:pPr>
      <w:r>
        <w:t xml:space="preserve">Use a fresh Windows profile. The approved profile path is</w:t>
      </w:r>
      <w:r>
        <w:t xml:space="preserve"> </w:t>
      </w:r>
      <w:r>
        <w:rPr>
          <w:rStyle w:val="VerbatimChar"/>
        </w:rPr>
        <w:t xml:space="preserve">%LOCALAPPDATA%\CivicSuite</w:t>
      </w:r>
      <w:r>
        <w:t xml:space="preserve">. Keep existing profiles and backups.</w:t>
      </w:r>
    </w:p>
    <w:p>
      <w:pPr>
        <w:pStyle w:val="Compact"/>
        <w:numPr>
          <w:ilvl w:val="0"/>
          <w:numId w:val="1003"/>
        </w:numPr>
      </w:pPr>
      <w:r>
        <w:t xml:space="preserve">Sign in with an account allowed to use Access and enable the Access</w:t>
      </w:r>
      <w:r>
        <w:t xml:space="preserve"> </w:t>
      </w:r>
      <w:r>
        <w:t xml:space="preserve">capability. Open Accessibility and enter the actual source title, text,</w:t>
      </w:r>
      <w:r>
        <w:t xml:space="preserve"> </w:t>
      </w:r>
      <w:r>
        <w:t xml:space="preserve">language and image-description information.</w:t>
      </w:r>
    </w:p>
    <w:p>
      <w:pPr>
        <w:pStyle w:val="Compact"/>
        <w:numPr>
          <w:ilvl w:val="0"/>
          <w:numId w:val="1003"/>
        </w:numPr>
      </w:pPr>
      <w:r>
        <w:t xml:space="preserve">Save the review. Reopen it to inspect the source, deterministic</w:t>
      </w:r>
      <w:r>
        <w:t xml:space="preserve"> </w:t>
      </w:r>
      <w:r>
        <w:t xml:space="preserve">findings and any saved local-model advice, model identity and outcome.</w:t>
      </w:r>
      <w:r>
        <w:t xml:space="preserve"> </w:t>
      </w:r>
      <w:r>
        <w:t xml:space="preserve">Advice is not a certified accessibility finding or approval.</w:t>
      </w:r>
    </w:p>
    <w:p>
      <w:pPr>
        <w:pStyle w:val="Compact"/>
        <w:numPr>
          <w:ilvl w:val="0"/>
          <w:numId w:val="1003"/>
        </w:numPr>
      </w:pPr>
      <w:r>
        <w:t xml:space="preserve">For plain-language or translation work, enter the actual source and</w:t>
      </w:r>
      <w:r>
        <w:t xml:space="preserve"> </w:t>
      </w:r>
      <w:r>
        <w:t xml:space="preserve">request a draft. The Windows path uses the suite’s configured local</w:t>
      </w:r>
      <w:r>
        <w:t xml:space="preserve"> </w:t>
      </w:r>
      <w:r>
        <w:t xml:space="preserve">model. Saved drafts retain source/output, language, model/outcome, staff</w:t>
      </w:r>
      <w:r>
        <w:t xml:space="preserve"> </w:t>
      </w:r>
      <w:r>
        <w:t xml:space="preserve">actor/time and the requirement for qualified human review. An</w:t>
      </w:r>
      <w:r>
        <w:t xml:space="preserve"> </w:t>
      </w:r>
      <w:r>
        <w:t xml:space="preserve">unavailable-model sample is labeled as a sample; it is not a translation</w:t>
      </w:r>
      <w:r>
        <w:t xml:space="preserve"> </w:t>
      </w:r>
      <w:r>
        <w:t xml:space="preserve">of the input.</w:t>
      </w:r>
    </w:p>
    <w:p>
      <w:pPr>
        <w:pStyle w:val="Compact"/>
        <w:numPr>
          <w:ilvl w:val="0"/>
          <w:numId w:val="1003"/>
        </w:numPr>
      </w:pPr>
      <w:r>
        <w:t xml:space="preserve">Reopen saved drafts from Access, including after restarting the app.</w:t>
      </w:r>
      <w:r>
        <w:t xml:space="preserve"> </w:t>
      </w:r>
      <w:r>
        <w:t xml:space="preserve">Select Export record on the desired review or draft. The desktop writes</w:t>
      </w:r>
      <w:r>
        <w:t xml:space="preserve"> </w:t>
      </w:r>
      <w:r>
        <w:t xml:space="preserve">a Markdown record and verifies its content hash and companion manifest</w:t>
      </w:r>
      <w:r>
        <w:t xml:space="preserve"> </w:t>
      </w:r>
      <w:r>
        <w:t xml:space="preserve">before reporting completion. The fenced JSON is the complete record,</w:t>
      </w:r>
      <w:r>
        <w:t xml:space="preserve"> </w:t>
      </w:r>
      <w:r>
        <w:t xml:space="preserve">including source, output/advice and relevant provenance; ordinary HTML</w:t>
      </w:r>
      <w:r>
        <w:t xml:space="preserve"> </w:t>
      </w:r>
      <w:r>
        <w:t xml:space="preserve">rendering is unnecessary to read it.</w:t>
      </w:r>
    </w:p>
    <w:p>
      <w:pPr>
        <w:pStyle w:val="Compact"/>
        <w:numPr>
          <w:ilvl w:val="0"/>
          <w:numId w:val="1003"/>
        </w:numPr>
      </w:pPr>
      <w:r>
        <w:t xml:space="preserve">To hand the record to Records, open the intended Records request,</w:t>
      </w:r>
      <w:r>
        <w:t xml:space="preserve"> </w:t>
      </w:r>
      <w:r>
        <w:t xml:space="preserve">attach the actual exported Markdown file using Records’ native file</w:t>
      </w:r>
      <w:r>
        <w:t xml:space="preserve"> </w:t>
      </w:r>
      <w:r>
        <w:t xml:space="preserve">picker, and read it back from that request. A successful Access export</w:t>
      </w:r>
      <w:r>
        <w:t xml:space="preserve"> </w:t>
      </w:r>
      <w:r>
        <w:t xml:space="preserve">alone does not attach evidence to a request or authorize disclosure.</w:t>
      </w:r>
      <w:r>
        <w:t xml:space="preserve"> </w:t>
      </w:r>
      <w:r>
        <w:t xml:space="preserve">Records permissions and review/release rules still apply.</w:t>
      </w:r>
    </w:p>
    <w:p>
      <w:pPr>
        <w:pStyle w:val="FirstParagraph"/>
      </w:pPr>
      <w:r>
        <w:t xml:space="preserve">The complete review export includes reviewed source, findings, saved</w:t>
      </w:r>
      <w:r>
        <w:t xml:space="preserve"> </w:t>
      </w:r>
      <w:r>
        <w:t xml:space="preserve">advice/model/outcome where available, actor/time, relevant audit history</w:t>
      </w:r>
      <w:r>
        <w:t xml:space="preserve"> </w:t>
      </w:r>
      <w:r>
        <w:t xml:space="preserve">and advisory limits. Draft exports include the retained source/output</w:t>
      </w:r>
      <w:r>
        <w:t xml:space="preserve"> </w:t>
      </w:r>
      <w:r>
        <w:t xml:space="preserve">pair and review status. Back up the complete profile using System Health</w:t>
      </w:r>
      <w:r>
        <w:t xml:space="preserve"> </w:t>
      </w:r>
      <w:r>
        <w:t xml:space="preserve">and restore only a matching new-format backup. The</w:t>
      </w:r>
      <w:r>
        <w:t xml:space="preserve"> </w:t>
      </w:r>
      <w:hyperlink r:id="rId11">
        <w:r>
          <w:rPr>
            <w:rStyle w:val="Hyperlink"/>
          </w:rPr>
          <w:t xml:space="preserve">Windows acceptance summary</w:t>
        </w:r>
      </w:hyperlink>
      <w:r>
        <w:t xml:space="preserve"> </w:t>
      </w:r>
      <w:r>
        <w:t xml:space="preserve">records installed export, restart and recovery results. Real-model rewrite and Spanish drafts passed in a 16 GiB Sandbox; the 8 GiB attempts timed out and saved no draft.</w:t>
      </w:r>
    </w:p>
    <w:p>
      <w:pPr>
        <w:pStyle w:val="BodyText"/>
      </w:pPr>
      <w:r>
        <w:t xml:space="preserve">No automated result certifies ADA compliance, creates an</w:t>
      </w:r>
      <w:r>
        <w:t xml:space="preserve"> </w:t>
      </w:r>
      <w:r>
        <w:t xml:space="preserve">accessible/tagged PDF, approves publication or replaces a qualified</w:t>
      </w:r>
      <w:r>
        <w:t xml:space="preserve"> </w:t>
      </w:r>
      <w:r>
        <w:t xml:space="preserve">translator or ADA coordinator.</w:t>
      </w:r>
    </w:p>
    <w:bookmarkEnd w:id="12"/>
    <w:bookmarkStart w:id="13" w:name="standalone-support-service"/>
    <w:p>
      <w:pPr>
        <w:pStyle w:val="Heading2"/>
      </w:pPr>
      <w:r>
        <w:t xml:space="preserve">Standalone support service</w:t>
      </w:r>
    </w:p>
    <w:p>
      <w:pPr>
        <w:pStyle w:val="FirstParagraph"/>
      </w:pPr>
      <w:r>
        <w:t xml:space="preserve">The separately run FastAPI service provides deterministic checks and</w:t>
      </w:r>
      <w:r>
        <w:t xml:space="preserve"> </w:t>
      </w:r>
      <w:r>
        <w:t xml:space="preserve">planning helpers. Its Spanish and Vietnamese responses are fixed</w:t>
      </w:r>
      <w:r>
        <w:t xml:space="preserve"> </w:t>
      </w:r>
      <w:r>
        <w:t xml:space="preserve">samples,</w:t>
      </w:r>
      <w:r>
        <w:t xml:space="preserve"> </w:t>
      </w:r>
      <w:r>
        <w:rPr>
          <w:b/>
          <w:bCs/>
        </w:rPr>
        <w:t xml:space="preserve">not translations of the supplied source</w:t>
      </w:r>
      <w:r>
        <w:t xml:space="preserve">. Its</w:t>
      </w:r>
      <w:r>
        <w:t xml:space="preserve"> </w:t>
      </w:r>
      <w:r>
        <w:t xml:space="preserve">deterministic jargon substitutions are separate from the Windows model</w:t>
      </w:r>
      <w:r>
        <w:t xml:space="preserve"> </w:t>
      </w:r>
      <w:r>
        <w:t xml:space="preserve">workflow. A shared write token proves possession of that token; it does</w:t>
      </w:r>
      <w:r>
        <w:t xml:space="preserve"> </w:t>
      </w:r>
      <w:r>
        <w:t xml:space="preserve">not establish an individual staff identity. Standalone audit records use</w:t>
      </w:r>
      <w:r>
        <w:t xml:space="preserve"> </w:t>
      </w:r>
      <w:r>
        <w:rPr>
          <w:rStyle w:val="VerbatimChar"/>
        </w:rPr>
        <w:t xml:space="preserve">shared-token-staff</w:t>
      </w:r>
      <w:r>
        <w:t xml:space="preserve"> </w:t>
      </w:r>
      <w:r>
        <w:t xml:space="preserve">for that reason.</w:t>
      </w:r>
    </w:p>
    <w:p>
      <w:pPr>
        <w:pStyle w:val="BodyText"/>
      </w:pPr>
      <w:r>
        <w:t xml:space="preserve">Standalone saved-review exports now return a complete Markdown</w:t>
      </w:r>
      <w:r>
        <w:t xml:space="preserve"> </w:t>
      </w:r>
      <w:r>
        <w:t xml:space="preserve">artifact with source, findings and relevant audit provenance, plus its</w:t>
      </w:r>
      <w:r>
        <w:t xml:space="preserve"> </w:t>
      </w:r>
      <w:r>
        <w:t xml:space="preserve">SHA-256. The staff page offers that actual artifact for download. Other</w:t>
      </w:r>
      <w:r>
        <w:t xml:space="preserve"> </w:t>
      </w:r>
      <w:r>
        <w:t xml:space="preserve">form, tagged-PDF, ADA and publishing helpers remain checklists. The</w:t>
      </w:r>
      <w:r>
        <w:t xml:space="preserve"> </w:t>
      </w:r>
      <w:r>
        <w:t xml:space="preserve">standalone service does not acquire Windows draft persistence or native</w:t>
      </w:r>
      <w:r>
        <w:t xml:space="preserve"> </w:t>
      </w:r>
      <w:r>
        <w:t xml:space="preserve">individual-account identity merely because it shares this package.</w:t>
      </w:r>
    </w:p>
    <w:p>
      <w:pPr>
        <w:pStyle w:val="BodyText"/>
      </w:pPr>
      <w:r>
        <w:rPr>
          <w:b/>
          <w:bCs/>
        </w:rPr>
        <w:t xml:space="preserve">Version 0.5.0 · included in Windows MSI 1.7.0.1</w:t>
      </w:r>
      <w:r>
        <w:t xml:space="preserve"> </w:t>
      </w:r>
      <w:r>
        <w:t xml:space="preserve">Townlight Access is the accessibility, plain-language,</w:t>
      </w:r>
      <w:r>
        <w:t xml:space="preserve"> </w:t>
      </w:r>
      <w:r>
        <w:t xml:space="preserve">multilingual, and ADA Title II review-support module for Townlight.</w:t>
      </w:r>
    </w:p>
    <w:p>
      <w:pPr>
        <w:pStyle w:val="BodyText"/>
      </w:pPr>
      <w:r>
        <w:t xml:space="preserve">This manual has two parts. Read the one that fits your role:</w:t>
      </w:r>
    </w:p>
    <w:p>
      <w:pPr>
        <w:pStyle w:val="Compact"/>
        <w:numPr>
          <w:ilvl w:val="0"/>
          <w:numId w:val="1004"/>
        </w:numPr>
      </w:pPr>
      <w:hyperlink w:anchor="part-1-for-civic-staff">
        <w:r>
          <w:rPr>
            <w:rStyle w:val="Hyperlink"/>
            <w:b/>
            <w:bCs/>
          </w:rPr>
          <w:t xml:space="preserve">Part 1 — For Civic</w:t>
        </w:r>
        <w:r>
          <w:rPr>
            <w:rStyle w:val="Hyperlink"/>
            <w:b/>
            <w:bCs/>
          </w:rPr>
          <w:t xml:space="preserve"> </w:t>
        </w:r>
        <w:r>
          <w:rPr>
            <w:rStyle w:val="Hyperlink"/>
            <w:b/>
            <w:bCs/>
          </w:rPr>
          <w:t xml:space="preserve">Staff</w:t>
        </w:r>
      </w:hyperlink>
      <w:r>
        <w:t xml:space="preserve"> </w:t>
      </w:r>
      <w:r>
        <w:t xml:space="preserve">— clerks, communicators, ADA coordinators. Plain</w:t>
      </w:r>
      <w:r>
        <w:t xml:space="preserve"> </w:t>
      </w:r>
      <w:r>
        <w:t xml:space="preserve">English, no setup.</w:t>
      </w:r>
    </w:p>
    <w:p>
      <w:pPr>
        <w:pStyle w:val="Compact"/>
        <w:numPr>
          <w:ilvl w:val="0"/>
          <w:numId w:val="1004"/>
        </w:numPr>
      </w:pPr>
      <w:hyperlink w:anchor="part-2-for-it-technical-staff">
        <w:r>
          <w:rPr>
            <w:rStyle w:val="Hyperlink"/>
            <w:b/>
            <w:bCs/>
          </w:rPr>
          <w:t xml:space="preserve">Part 2 — For IT</w:t>
        </w:r>
        <w:r>
          <w:rPr>
            <w:rStyle w:val="Hyperlink"/>
            <w:b/>
            <w:bCs/>
          </w:rPr>
          <w:t xml:space="preserve"> </w:t>
        </w:r>
        <w:r>
          <w:rPr>
            <w:rStyle w:val="Hyperlink"/>
            <w:b/>
            <w:bCs/>
          </w:rPr>
          <w:t xml:space="preserve">&amp; Technical Staff</w:t>
        </w:r>
      </w:hyperlink>
      <w:r>
        <w:t xml:space="preserve"> </w:t>
      </w:r>
      <w:r>
        <w:t xml:space="preserve">— architecture, runtime, data model,</w:t>
      </w:r>
      <w:r>
        <w:t xml:space="preserve"> </w:t>
      </w:r>
      <w:r>
        <w:t xml:space="preserve">security, and operations.</w:t>
      </w:r>
    </w:p>
    <w:p>
      <w:r>
        <w:pict>
          <v:rect style="width:0;height:1.5pt" o:hralign="center" o:hrstd="t" o:hr="t"/>
        </w:pict>
      </w:r>
    </w:p>
    <w:bookmarkEnd w:id="13"/>
    <w:bookmarkStart w:id="21" w:name="part-1-for-civic-staff"/>
    <w:p>
      <w:pPr>
        <w:pStyle w:val="Heading2"/>
      </w:pPr>
      <w:r>
        <w:t xml:space="preserve">Part 1 — For Civic Staff</w:t>
      </w:r>
    </w:p>
    <w:p>
      <w:pPr>
        <w:pStyle w:val="FirstParagraph"/>
      </w:pPr>
      <w:bookmarkStart w:id="14" w:name="what-townlight_access-is-for"/>
      <w:bookmarkEnd w:id="14"/>
    </w:p>
    <w:bookmarkStart w:id="15" w:name="what-townlight-access-is-for"/>
    <w:p>
      <w:pPr>
        <w:pStyle w:val="Heading3"/>
      </w:pPr>
      <w:r>
        <w:t xml:space="preserve">What Townlight Access is for</w:t>
      </w:r>
    </w:p>
    <w:p>
      <w:pPr>
        <w:pStyle w:val="FirstParagraph"/>
      </w:pPr>
      <w:r>
        <w:t xml:space="preserve">Townlight Access helps your office put out public notices, forms, and</w:t>
      </w:r>
      <w:r>
        <w:t xml:space="preserve"> </w:t>
      </w:r>
      <w:r>
        <w:t xml:space="preserve">documents that</w:t>
      </w:r>
      <w:r>
        <w:t xml:space="preserve"> </w:t>
      </w:r>
      <w:r>
        <w:rPr>
          <w:b/>
          <w:bCs/>
        </w:rPr>
        <w:t xml:space="preserve">everyone can read</w:t>
      </w:r>
      <w:r>
        <w:t xml:space="preserve"> </w:t>
      </w:r>
      <w:r>
        <w:t xml:space="preserve">— and keep a clean</w:t>
      </w:r>
      <w:r>
        <w:t xml:space="preserve"> </w:t>
      </w:r>
      <w:r>
        <w:t xml:space="preserve">record proving you checked. It is a staff tool that gives advice and</w:t>
      </w:r>
      <w:r>
        <w:t xml:space="preserve"> </w:t>
      </w:r>
      <w:r>
        <w:t xml:space="preserve">does the busywork;</w:t>
      </w:r>
      <w:r>
        <w:t xml:space="preserve"> </w:t>
      </w:r>
      <w:r>
        <w:rPr>
          <w:b/>
          <w:bCs/>
        </w:rPr>
        <w:t xml:space="preserve">you and your ADA coordinator always make the</w:t>
      </w:r>
      <w:r>
        <w:rPr>
          <w:b/>
          <w:bCs/>
        </w:rPr>
        <w:t xml:space="preserve"> </w:t>
      </w:r>
      <w:r>
        <w:rPr>
          <w:b/>
          <w:bCs/>
        </w:rPr>
        <w:t xml:space="preserve">final call.</w:t>
      </w:r>
    </w:p>
    <w:bookmarkEnd w:id="15"/>
    <w:bookmarkStart w:id="16" w:name="what-you-can-do-with-it"/>
    <w:p>
      <w:pPr>
        <w:pStyle w:val="Heading3"/>
      </w:pPr>
      <w:r>
        <w:t xml:space="preserve">What you can do with 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You want to…</w:t>
            </w:r>
          </w:p>
        </w:tc>
        <w:tc>
          <w:tcPr/>
          <w:p>
            <w:pPr>
              <w:pStyle w:val="Compact"/>
            </w:pPr>
            <w:r>
              <w:t xml:space="preserve">Townlight Access gives you…</w:t>
            </w:r>
          </w:p>
        </w:tc>
      </w:tr>
      <w:tr>
        <w:tc>
          <w:tcPr/>
          <w:p>
            <w:pPr>
              <w:pStyle w:val="Compact"/>
            </w:pPr>
            <w:r>
              <w:t xml:space="preserve">Know if a notice is hard to read</w:t>
            </w:r>
          </w:p>
        </w:tc>
        <w:tc>
          <w:tcPr/>
          <w:p>
            <w:pPr>
              <w:pStyle w:val="Compact"/>
            </w:pPr>
            <w:r>
              <w:t xml:space="preserve">A check that flags missing titles, images without descriptions, and</w:t>
            </w:r>
            <w:r>
              <w:t xml:space="preserve"> </w:t>
            </w:r>
            <w:r>
              <w:t xml:space="preserve">dense wording — each with a specific fix</w:t>
            </w:r>
          </w:p>
        </w:tc>
      </w:tr>
      <w:tr>
        <w:tc>
          <w:tcPr/>
          <w:p>
            <w:pPr>
              <w:pStyle w:val="Compact"/>
            </w:pPr>
            <w:r>
              <w:t xml:space="preserve">Cut the jargon</w:t>
            </w:r>
          </w:p>
        </w:tc>
        <w:tc>
          <w:tcPr/>
          <w:p>
            <w:pPr>
              <w:pStyle w:val="Compact"/>
            </w:pPr>
            <w:r>
              <w:t xml:space="preserve">A plain-language rewrite (e.g. “remit payment prior to the deadline”</w:t>
            </w:r>
            <w:r>
              <w:t xml:space="preserve"> </w:t>
            </w:r>
            <w:r>
              <w:t xml:space="preserve">→ “pay before the deadline”)</w:t>
            </w:r>
          </w:p>
        </w:tc>
      </w:tr>
      <w:tr>
        <w:tc>
          <w:tcPr/>
          <w:p>
            <w:pPr>
              <w:pStyle w:val="Compact"/>
            </w:pPr>
            <w:r>
              <w:t xml:space="preserve">Reach non-English readers</w:t>
            </w:r>
          </w:p>
        </w:tc>
        <w:tc>
          <w:tcPr/>
          <w:p>
            <w:pPr>
              <w:pStyle w:val="Compact"/>
            </w:pPr>
            <w:r>
              <w:t xml:space="preserve">Windows local-model drafts for qualified review; fixed standalone</w:t>
            </w:r>
            <w:r>
              <w:t xml:space="preserve"> </w:t>
            </w:r>
            <w:r>
              <w:t xml:space="preserve">samples do not translate input</w:t>
            </w:r>
          </w:p>
        </w:tc>
      </w:tr>
      <w:tr>
        <w:tc>
          <w:tcPr/>
          <w:p>
            <w:pPr>
              <w:pStyle w:val="Compact"/>
            </w:pPr>
            <w:r>
              <w:t xml:space="preserve">Publish an accessible form or PDF</w:t>
            </w:r>
          </w:p>
        </w:tc>
        <w:tc>
          <w:tcPr/>
          <w:p>
            <w:pPr>
              <w:pStyle w:val="Compact"/>
            </w:pPr>
            <w:r>
              <w:t xml:space="preserve">A checklist of what an accessible form or tagged PDF needs</w:t>
            </w:r>
          </w:p>
        </w:tc>
      </w:tr>
      <w:tr>
        <w:tc>
          <w:tcPr/>
          <w:p>
            <w:pPr>
              <w:pStyle w:val="Compact"/>
            </w:pPr>
            <w:r>
              <w:t xml:space="preserve">Handle an ADA Title II review</w:t>
            </w:r>
          </w:p>
        </w:tc>
        <w:tc>
          <w:tcPr/>
          <w:p>
            <w:pPr>
              <w:pStyle w:val="Compact"/>
            </w:pPr>
            <w:r>
              <w:t xml:space="preserve">A step-by-step review-support checklist</w:t>
            </w:r>
          </w:p>
        </w:tc>
      </w:tr>
      <w:tr>
        <w:tc>
          <w:tcPr/>
          <w:p>
            <w:pPr>
              <w:pStyle w:val="Compact"/>
            </w:pPr>
            <w:r>
              <w:t xml:space="preserve">Answer a records request</w:t>
            </w:r>
          </w:p>
        </w:tc>
        <w:tc>
          <w:tcPr/>
          <w:p>
            <w:pPr>
              <w:pStyle w:val="Compact"/>
            </w:pPr>
            <w:r>
              <w:t xml:space="preserve">A saved, exportable record of every review, with provenance</w:t>
            </w:r>
            <w:r>
              <w:t xml:space="preserve"> </w:t>
            </w:r>
            <w:r>
              <w:t xml:space="preserve">(individual staff identity in Windows; shared-token identity in the</w:t>
            </w:r>
            <w:r>
              <w:t xml:space="preserve"> </w:t>
            </w:r>
            <w:r>
              <w:t xml:space="preserve">standalone service)</w:t>
            </w:r>
          </w:p>
        </w:tc>
      </w:tr>
    </w:tbl>
    <w:bookmarkEnd w:id="16"/>
    <w:bookmarkStart w:id="18" w:name="how-youll-use-it-day-to-day"/>
    <w:p>
      <w:pPr>
        <w:pStyle w:val="Heading3"/>
      </w:pPr>
      <w:r>
        <w:t xml:space="preserve">How you’ll use it day to day</w:t>
      </w:r>
    </w:p>
    <w:p>
      <w:pPr>
        <w:pStyle w:val="FirstParagraph"/>
      </w:pPr>
      <w:r>
        <w:t xml:space="preserve">The following browser instructions describe the separately deployed standalone service. For the Windows app, use the Windows staff workflow above. The standalone service has two surfaces:</w:t>
      </w:r>
    </w:p>
    <w:p>
      <w:pPr>
        <w:pStyle w:val="Compact"/>
        <w:numPr>
          <w:ilvl w:val="0"/>
          <w:numId w:val="1005"/>
        </w:numPr>
      </w:pPr>
      <w:r>
        <w:t xml:space="preserve">The</w:t>
      </w:r>
      <w:r>
        <w:t xml:space="preserve"> </w:t>
      </w:r>
      <w:r>
        <w:rPr>
          <w:b/>
          <w:bCs/>
        </w:rPr>
        <w:t xml:space="preserve">public checker</w:t>
      </w:r>
      <w:r>
        <w:t xml:space="preserve"> </w:t>
      </w:r>
      <w:r>
        <w:t xml:space="preserve">is for trying things out — it</w:t>
      </w:r>
      <w:r>
        <w:t xml:space="preserve"> </w:t>
      </w:r>
      <w:r>
        <w:t xml:space="preserve">forgets everything when you leave.</w:t>
      </w:r>
    </w:p>
    <w:p>
      <w:pPr>
        <w:pStyle w:val="Compact"/>
        <w:numPr>
          <w:ilvl w:val="0"/>
          <w:numId w:val="1005"/>
        </w:numPr>
      </w:pPr>
      <w:r>
        <w:t xml:space="preserve">The</w:t>
      </w:r>
      <w:r>
        <w:t xml:space="preserve"> </w:t>
      </w:r>
      <w:r>
        <w:rPr>
          <w:b/>
          <w:bCs/>
        </w:rPr>
        <w:t xml:space="preserve">staff workspace</w:t>
      </w:r>
      <w:r>
        <w:t xml:space="preserve"> </w:t>
      </w:r>
      <w:r>
        <w:t xml:space="preserve">is for keeping a permanent,</w:t>
      </w:r>
      <w:r>
        <w:t xml:space="preserve"> </w:t>
      </w:r>
      <w:r>
        <w:t xml:space="preserve">official record you can produce later.</w:t>
      </w:r>
    </w:p>
    <w:p>
      <w:pPr>
        <w:pStyle w:val="FirstParagraph"/>
      </w:pPr>
      <w:r>
        <w:t xml:space="preserve">Your IT team will give you the link to each.</w:t>
      </w:r>
    </w:p>
    <w:p>
      <w:pPr>
        <w:pStyle w:val="Compact"/>
        <w:numPr>
          <w:ilvl w:val="0"/>
          <w:numId w:val="1006"/>
        </w:numPr>
      </w:pPr>
      <w:r>
        <w:t xml:space="preserve">Open the</w:t>
      </w:r>
      <w:r>
        <w:t xml:space="preserve"> </w:t>
      </w:r>
      <w:r>
        <w:rPr>
          <w:b/>
          <w:bCs/>
        </w:rPr>
        <w:t xml:space="preserve">public checker</w:t>
      </w:r>
      <w:r>
        <w:t xml:space="preserve">. Paste in a draft notice</w:t>
      </w:r>
      <w:r>
        <w:t xml:space="preserve"> </w:t>
      </w:r>
      <w:r>
        <w:t xml:space="preserve">and run the check. You’ll get a list of plain-language fixes — nothing</w:t>
      </w:r>
      <w:r>
        <w:t xml:space="preserve"> </w:t>
      </w:r>
      <w:r>
        <w:t xml:space="preserve">is saved, so it’s a safe place to experiment.</w:t>
      </w:r>
    </w:p>
    <w:p>
      <w:pPr>
        <w:pStyle w:val="Compact"/>
        <w:numPr>
          <w:ilvl w:val="0"/>
          <w:numId w:val="1006"/>
        </w:numPr>
      </w:pPr>
      <w:r>
        <w:t xml:space="preserve">When you’re ready to keep a review on the record, open the</w:t>
      </w:r>
      <w:r>
        <w:t xml:space="preserve"> </w:t>
      </w:r>
      <w:r>
        <w:rPr>
          <w:b/>
          <w:bCs/>
        </w:rPr>
        <w:t xml:space="preserve">staff workspace</w:t>
      </w:r>
      <w:r>
        <w:t xml:space="preserve"> </w:t>
      </w:r>
      <w:r>
        <w:t xml:space="preserve">and enter the staff password your IT</w:t>
      </w:r>
      <w:r>
        <w:t xml:space="preserve"> </w:t>
      </w:r>
      <w:r>
        <w:t xml:space="preserve">team gave you (a one-time setup). Save the review — it is saved with a time-stamp and the shared-token-staff audit identity. The shared token does not identify an individual staff member.</w:t>
      </w:r>
    </w:p>
    <w:p>
      <w:pPr>
        <w:pStyle w:val="Compact"/>
        <w:numPr>
          <w:ilvl w:val="0"/>
          <w:numId w:val="1006"/>
        </w:numPr>
      </w:pPr>
      <w:r>
        <w:t xml:space="preserve">From the staff workspace,</w:t>
      </w:r>
      <w:r>
        <w:t xml:space="preserve"> </w:t>
      </w:r>
      <w:r>
        <w:rPr>
          <w:b/>
          <w:bCs/>
        </w:rPr>
        <w:t xml:space="preserve">export a records-ready</w:t>
      </w:r>
      <w:r>
        <w:rPr>
          <w:b/>
          <w:bCs/>
        </w:rPr>
        <w:t xml:space="preserve"> </w:t>
      </w:r>
      <w:r>
        <w:rPr>
          <w:b/>
          <w:bCs/>
        </w:rPr>
        <w:t xml:space="preserve">package</w:t>
      </w:r>
      <w:r>
        <w:t xml:space="preserve"> </w:t>
      </w:r>
      <w:r>
        <w:t xml:space="preserve">for any saved review — ready to hand to a</w:t>
      </w:r>
      <w:r>
        <w:t xml:space="preserve"> </w:t>
      </w:r>
      <w:r>
        <w:t xml:space="preserve">public-records request.</w:t>
      </w:r>
    </w:p>
    <w:p>
      <w:pPr>
        <w:pStyle w:val="FirstParagraph"/>
      </w:pPr>
      <w:bookmarkStart w:id="17" w:name="what-townlight_access-will-not-do"/>
      <w:bookmarkEnd w:id="17"/>
    </w:p>
    <w:bookmarkEnd w:id="18"/>
    <w:bookmarkStart w:id="19" w:name="what-townlight-access-will-not-do"/>
    <w:p>
      <w:pPr>
        <w:pStyle w:val="Heading3"/>
      </w:pPr>
      <w:r>
        <w:t xml:space="preserve">What Townlight Access will</w:t>
      </w:r>
      <w:r>
        <w:t xml:space="preserve"> </w:t>
      </w:r>
      <w:r>
        <w:rPr>
          <w:i/>
          <w:iCs/>
        </w:rPr>
        <w:t xml:space="preserve">not</w:t>
      </w:r>
      <w:r>
        <w:t xml:space="preserve"> </w:t>
      </w:r>
      <w:r>
        <w:t xml:space="preserve">do</w:t>
      </w:r>
    </w:p>
    <w:p>
      <w:pPr>
        <w:pStyle w:val="FirstParagraph"/>
      </w:pPr>
      <w:r>
        <w:t xml:space="preserve">Townlight Access is a tool for your staff,</w:t>
      </w:r>
      <w:r>
        <w:t xml:space="preserve"> </w:t>
      </w:r>
      <w:r>
        <w:rPr>
          <w:b/>
          <w:bCs/>
        </w:rPr>
        <w:t xml:space="preserve">not a rubber</w:t>
      </w:r>
      <w:r>
        <w:rPr>
          <w:b/>
          <w:bCs/>
        </w:rPr>
        <w:t xml:space="preserve"> </w:t>
      </w:r>
      <w:r>
        <w:rPr>
          <w:b/>
          <w:bCs/>
        </w:rPr>
        <w:t xml:space="preserve">stamp.</w:t>
      </w:r>
      <w:r>
        <w:t xml:space="preserve"> </w:t>
      </w:r>
      <w:r>
        <w:t xml:space="preserve">It does</w:t>
      </w:r>
      <w:r>
        <w:t xml:space="preserve"> </w:t>
      </w:r>
      <w:r>
        <w:rPr>
          <w:b/>
          <w:bCs/>
        </w:rPr>
        <w:t xml:space="preserve">not</w:t>
      </w:r>
      <w:r>
        <w:t xml:space="preserve">:</w:t>
      </w:r>
    </w:p>
    <w:p>
      <w:pPr>
        <w:pStyle w:val="Compact"/>
        <w:numPr>
          <w:ilvl w:val="0"/>
          <w:numId w:val="1007"/>
        </w:numPr>
      </w:pPr>
      <w:r>
        <w:t xml:space="preserve">give legal advice,</w:t>
      </w:r>
    </w:p>
    <w:p>
      <w:pPr>
        <w:pStyle w:val="Compact"/>
        <w:numPr>
          <w:ilvl w:val="0"/>
          <w:numId w:val="1007"/>
        </w:numPr>
      </w:pPr>
      <w:r>
        <w:t xml:space="preserve">certify ADA compliance,</w:t>
      </w:r>
    </w:p>
    <w:p>
      <w:pPr>
        <w:pStyle w:val="Compact"/>
        <w:numPr>
          <w:ilvl w:val="0"/>
          <w:numId w:val="1007"/>
        </w:numPr>
      </w:pPr>
      <w:r>
        <w:t xml:space="preserve">issue official translations, or</w:t>
      </w:r>
    </w:p>
    <w:p>
      <w:pPr>
        <w:pStyle w:val="Compact"/>
        <w:numPr>
          <w:ilvl w:val="0"/>
          <w:numId w:val="1007"/>
        </w:numPr>
      </w:pPr>
      <w:r>
        <w:t xml:space="preserve">publish anything on its own.</w:t>
      </w:r>
    </w:p>
    <w:p>
      <w:pPr>
        <w:pStyle w:val="FirstParagraph"/>
      </w:pPr>
      <w:r>
        <w:t xml:space="preserve">A qualified human — your staff, an ADA coordinator, a translator,</w:t>
      </w:r>
      <w:r>
        <w:t xml:space="preserve"> </w:t>
      </w:r>
      <w:r>
        <w:t xml:space="preserve">legal counsel — always reviews and approves before anything goes public.</w:t>
      </w:r>
      <w:r>
        <w:t xml:space="preserve"> </w:t>
      </w:r>
      <w:r>
        <w:t xml:space="preserve">Translations it drafts are</w:t>
      </w:r>
      <w:r>
        <w:t xml:space="preserve"> </w:t>
      </w:r>
      <w:r>
        <w:rPr>
          <w:b/>
          <w:bCs/>
        </w:rPr>
        <w:t xml:space="preserve">starting points for a human</w:t>
      </w:r>
      <w:r>
        <w:rPr>
          <w:b/>
          <w:bCs/>
        </w:rPr>
        <w:t xml:space="preserve"> </w:t>
      </w:r>
      <w:r>
        <w:rPr>
          <w:b/>
          <w:bCs/>
        </w:rPr>
        <w:t xml:space="preserve">translator</w:t>
      </w:r>
      <w:r>
        <w:t xml:space="preserve">, never the final word.</w:t>
      </w:r>
    </w:p>
    <w:bookmarkEnd w:id="19"/>
    <w:bookmarkStart w:id="20" w:name="where-it-stands-today"/>
    <w:p>
      <w:pPr>
        <w:pStyle w:val="Heading3"/>
      </w:pPr>
      <w:r>
        <w:t xml:space="preserve">Where it stands today</w:t>
      </w:r>
    </w:p>
    <w:p>
      <w:pPr>
        <w:pStyle w:val="FirstParagraph"/>
      </w:pPr>
      <w:r>
        <w:t xml:space="preserve">This is</w:t>
      </w:r>
      <w:r>
        <w:t xml:space="preserve"> </w:t>
      </w:r>
      <w:r>
        <w:rPr>
          <w:b/>
          <w:bCs/>
        </w:rPr>
        <w:t xml:space="preserve">v0.5.0, an early release</w:t>
      </w:r>
      <w:r>
        <w:t xml:space="preserve"> </w:t>
      </w:r>
      <w:r>
        <w:t xml:space="preserve">we’re being upfront</w:t>
      </w:r>
      <w:r>
        <w:t xml:space="preserve"> </w:t>
      </w:r>
      <w:r>
        <w:t xml:space="preserve">about. It’s solid enough to evaluate and pilot, but it is</w:t>
      </w:r>
      <w:r>
        <w:t xml:space="preserve"> </w:t>
      </w:r>
      <w:r>
        <w:rPr>
          <w:b/>
          <w:bCs/>
        </w:rPr>
        <w:t xml:space="preserve">not a</w:t>
      </w:r>
      <w:r>
        <w:rPr>
          <w:b/>
          <w:bCs/>
        </w:rPr>
        <w:t xml:space="preserve"> </w:t>
      </w:r>
      <w:r>
        <w:rPr>
          <w:b/>
          <w:bCs/>
        </w:rPr>
        <w:t xml:space="preserve">finished 1.0 and not a compliance guarantee.</w:t>
      </w:r>
      <w:r>
        <w:t xml:space="preserve"> </w:t>
      </w:r>
      <w:r>
        <w:t xml:space="preserve">(An earlier</w:t>
      </w:r>
      <w:r>
        <w:t xml:space="preserve"> </w:t>
      </w:r>
      <w:r>
        <w:rPr>
          <w:rStyle w:val="VerbatimChar"/>
        </w:rPr>
        <w:t xml:space="preserve">v1.0.0</w:t>
      </w:r>
      <w:r>
        <w:t xml:space="preserve"> </w:t>
      </w:r>
      <w:r>
        <w:t xml:space="preserve">was published by mistake; we pulled it back to an</w:t>
      </w:r>
      <w:r>
        <w:t xml:space="preserve"> </w:t>
      </w:r>
      <w:r>
        <w:t xml:space="preserve">honest sub-1.0 label rather than overstate where the product is.)</w:t>
      </w:r>
    </w:p>
    <w:p>
      <w:r>
        <w:pict>
          <v:rect style="width:0;height:1.5pt" o:hralign="center" o:hrstd="t" o:hr="t"/>
        </w:pict>
      </w:r>
    </w:p>
    <w:bookmarkEnd w:id="20"/>
    <w:bookmarkEnd w:id="21"/>
    <w:bookmarkStart w:id="32" w:name="part-2-for-it-technical-staff"/>
    <w:p>
      <w:pPr>
        <w:pStyle w:val="Heading2"/>
      </w:pPr>
      <w:r>
        <w:t xml:space="preserve">Part 2 — For IT &amp; Technical</w:t>
      </w:r>
      <w:r>
        <w:t xml:space="preserve"> </w:t>
      </w:r>
      <w:r>
        <w:t xml:space="preserve">Staff</w:t>
      </w:r>
    </w:p>
    <w:bookmarkStart w:id="22" w:name="overview"/>
    <w:p>
      <w:pPr>
        <w:pStyle w:val="Heading3"/>
      </w:pPr>
      <w:r>
        <w:t xml:space="preserve">Overview</w:t>
      </w:r>
    </w:p>
    <w:p>
      <w:pPr>
        <w:pStyle w:val="FirstParagraph"/>
      </w:pPr>
      <w:r>
        <w:t xml:space="preserve">The standalone Townlight Access service uses Python/FastAPI and the pinned</w:t>
      </w:r>
      <w:r>
        <w:t xml:space="preserve"> </w:t>
      </w:r>
      <w:r>
        <w:rPr>
          <w:b/>
          <w:bCs/>
        </w:rPr>
        <w:t xml:space="preserve">Townlight Core 1.3.0.dev2</w:t>
      </w:r>
      <w:r>
        <w:t xml:space="preserve"> </w:t>
      </w:r>
      <w:r>
        <w:t xml:space="preserve">source. Its deterministic checks do not call a model. The Windows app has a separate authenticated native bridge and local-model path for review advice, rewrite and translation drafts. Those drafts require human review.</w:t>
      </w:r>
    </w:p>
    <w:bookmarkEnd w:id="22"/>
    <w:bookmarkStart w:id="23" w:name="deployment-architecture"/>
    <w:p>
      <w:pPr>
        <w:pStyle w:val="Heading3"/>
      </w:pPr>
      <w:r>
        <w:t xml:space="preserve">Deployment architecture</w:t>
      </w:r>
    </w:p>
    <w:p>
      <w:pPr>
        <w:pStyle w:val="FirstParagraph"/>
      </w:pPr>
      <w:r>
        <w:t xml:space="preserve">The Windows app uses the authenticated native Access bridge, the shared runtime database, individual staff accounts, durable drafts and verified file exports. Back up the complete profile through System Health. The service diagram and configuration below describe the standalone FastAPI package; they do not describe the native Windows screens or their authentication.</w:t>
      </w:r>
    </w:p>
    <w:p>
      <w:pPr>
        <w:pStyle w:val="SourceCode"/>
      </w:pPr>
      <w:r>
        <w:rPr>
          <w:rStyle w:val="VerbatimChar"/>
        </w:rPr>
        <w:t xml:space="preserve">flowchart TB</w:t>
      </w:r>
      <w:r>
        <w:br/>
      </w:r>
      <w:r>
        <w:rPr>
          <w:rStyle w:val="VerbatimChar"/>
        </w:rPr>
        <w:t xml:space="preserve">  Resident["Resident&lt;br/&gt;(browser)"] --&gt;|"public, read-only"| Pub["/townlight_access"]</w:t>
      </w:r>
      <w:r>
        <w:br/>
      </w:r>
      <w:r>
        <w:rPr>
          <w:rStyle w:val="VerbatimChar"/>
        </w:rPr>
        <w:t xml:space="preserve">  Staff["City staff&lt;br/&gt;(browser)"] --&gt;|"WebView2 UI"| StaffUI["/townlight_access/staff"]</w:t>
      </w:r>
      <w:r>
        <w:br/>
      </w:r>
      <w:r>
        <w:br/>
      </w:r>
      <w:r>
        <w:rPr>
          <w:rStyle w:val="VerbatimChar"/>
        </w:rPr>
        <w:t xml:space="preserve">  subgraph Sup["Tauri supervisor — local machine only"]</w:t>
      </w:r>
      <w:r>
        <w:br/>
      </w:r>
      <w:r>
        <w:rPr>
          <w:rStyle w:val="VerbatimChar"/>
        </w:rPr>
        <w:t xml:space="preserve">    CA["Townlight Access&lt;br/&gt;(FastAPI)"]</w:t>
      </w:r>
      <w:r>
        <w:br/>
      </w:r>
      <w:r>
        <w:rPr>
          <w:rStyle w:val="VerbatimChar"/>
        </w:rPr>
        <w:t xml:space="preserve">    Peers["Peer modules&lt;br/&gt;Townlight Meetings · Townlight Code · Townlight Notice · …"]</w:t>
      </w:r>
      <w:r>
        <w:br/>
      </w:r>
      <w:r>
        <w:rPr>
          <w:rStyle w:val="VerbatimChar"/>
        </w:rPr>
        <w:t xml:space="preserve">    PG[("Bundled PostgreSQL&lt;br/&gt;127.0.0.1:15432")]</w:t>
      </w:r>
      <w:r>
        <w:br/>
      </w:r>
      <w:r>
        <w:rPr>
          <w:rStyle w:val="VerbatimChar"/>
        </w:rPr>
        <w:t xml:space="preserve">  end</w:t>
      </w:r>
      <w:r>
        <w:br/>
      </w:r>
      <w:r>
        <w:br/>
      </w:r>
      <w:r>
        <w:rPr>
          <w:rStyle w:val="VerbatimChar"/>
        </w:rPr>
        <w:t xml:space="preserve">  Pub --&gt; CA</w:t>
      </w:r>
      <w:r>
        <w:br/>
      </w:r>
      <w:r>
        <w:rPr>
          <w:rStyle w:val="VerbatimChar"/>
        </w:rPr>
        <w:t xml:space="preserve">  StaffUI --&gt; CA</w:t>
      </w:r>
      <w:r>
        <w:br/>
      </w:r>
      <w:r>
        <w:rPr>
          <w:rStyle w:val="VerbatimChar"/>
        </w:rPr>
        <w:t xml:space="preserve">  CA --&gt;|"DATABASE_URL → townlight_access schema"| PG</w:t>
      </w:r>
      <w:r>
        <w:br/>
      </w:r>
      <w:r>
        <w:rPr>
          <w:rStyle w:val="VerbatimChar"/>
        </w:rPr>
        <w:t xml:space="preserve">  Peers --&gt; PG</w:t>
      </w:r>
      <w:r>
        <w:br/>
      </w:r>
      <w:r>
        <w:rPr>
          <w:rStyle w:val="VerbatimChar"/>
        </w:rPr>
        <w:t xml:space="preserve">  CA --&gt;|"depends on"| Core["Townlight Core 1.3.0.dev2"]</w:t>
      </w:r>
      <w:r>
        <w:br/>
      </w:r>
      <w:r>
        <w:rPr>
          <w:rStyle w:val="VerbatimChar"/>
        </w:rPr>
        <w:t xml:space="preserve">  CA -. "records-export hand-off" .-&gt; Records["Townlight Records"]</w:t>
      </w:r>
      <w:r>
        <w:br/>
      </w:r>
      <w:r>
        <w:rPr>
          <w:rStyle w:val="VerbatimChar"/>
        </w:rPr>
        <w:t xml:space="preserve">  Sup -. "wholesale backup of Data/ (incl. Data/postgres)" .-&gt; Backup[("Backup folder")]</w:t>
      </w:r>
    </w:p>
    <w:bookmarkEnd w:id="23"/>
    <w:bookmarkStart w:id="24" w:name="request-trust-model"/>
    <w:p>
      <w:pPr>
        <w:pStyle w:val="Heading3"/>
      </w:pPr>
      <w:r>
        <w:t xml:space="preserve">Request &amp; trust model</w:t>
      </w:r>
    </w:p>
    <w:p>
      <w:pPr>
        <w:pStyle w:val="FirstParagraph"/>
      </w:pPr>
      <w:r>
        <w:t xml:space="preserve">There are two surfaces with deliberately different trust levels:</w:t>
      </w:r>
    </w:p>
    <w:p>
      <w:pPr>
        <w:pStyle w:val="Compact"/>
        <w:numPr>
          <w:ilvl w:val="0"/>
          <w:numId w:val="1008"/>
        </w:numPr>
      </w:pPr>
      <w:r>
        <w:rPr>
          <w:b/>
          <w:bCs/>
        </w:rPr>
        <w:t xml:space="preserve">Public</w:t>
      </w:r>
      <w:r>
        <w:t xml:space="preserve"> </w:t>
      </w:r>
      <w:r>
        <w:t xml:space="preserve">(</w:t>
      </w:r>
      <w:r>
        <w:rPr>
          <w:rStyle w:val="VerbatimChar"/>
        </w:rPr>
        <w:t xml:space="preserve">/townlight_access</w:t>
      </w:r>
      <w:r>
        <w:t xml:space="preserve"> </w:t>
      </w:r>
      <w:r>
        <w:t xml:space="preserve">→</w:t>
      </w:r>
      <w:r>
        <w:t xml:space="preserve"> </w:t>
      </w:r>
      <w:r>
        <w:rPr>
          <w:rStyle w:val="VerbatimChar"/>
        </w:rPr>
        <w:t xml:space="preserve">POST /api/v1/townlight_access/analyze</w:t>
      </w:r>
      <w:r>
        <w:t xml:space="preserve">): stateless. Anyone</w:t>
      </w:r>
      <w:r>
        <w:t xml:space="preserve"> </w:t>
      </w:r>
      <w:r>
        <w:t xml:space="preserve">can analyze content;</w:t>
      </w:r>
      <w:r>
        <w:t xml:space="preserve"> </w:t>
      </w:r>
      <w:r>
        <w:rPr>
          <w:b/>
          <w:bCs/>
        </w:rPr>
        <w:t xml:space="preserve">nothing is persisted and no token is</w:t>
      </w:r>
      <w:r>
        <w:rPr>
          <w:b/>
          <w:bCs/>
        </w:rPr>
        <w:t xml:space="preserve"> </w:t>
      </w:r>
      <w:r>
        <w:rPr>
          <w:b/>
          <w:bCs/>
        </w:rPr>
        <w:t xml:space="preserve">required.</w:t>
      </w:r>
    </w:p>
    <w:p>
      <w:pPr>
        <w:pStyle w:val="Compact"/>
        <w:numPr>
          <w:ilvl w:val="0"/>
          <w:numId w:val="1008"/>
        </w:numPr>
      </w:pPr>
      <w:r>
        <w:rPr>
          <w:b/>
          <w:bCs/>
        </w:rPr>
        <w:t xml:space="preserve">Staff</w:t>
      </w:r>
      <w:r>
        <w:t xml:space="preserve"> </w:t>
      </w:r>
      <w:r>
        <w:t xml:space="preserve">(</w:t>
      </w:r>
      <w:r>
        <w:rPr>
          <w:rStyle w:val="VerbatimChar"/>
        </w:rPr>
        <w:t xml:space="preserve">/townlight_access/staff</w:t>
      </w:r>
      <w:r>
        <w:t xml:space="preserve"> </w:t>
      </w:r>
      <w:r>
        <w:t xml:space="preserve">→</w:t>
      </w:r>
      <w:r>
        <w:t xml:space="preserve"> </w:t>
      </w:r>
      <w:r>
        <w:rPr>
          <w:rStyle w:val="VerbatimChar"/>
        </w:rPr>
        <w:t xml:space="preserve">POST .../review</w:t>
      </w:r>
      <w:r>
        <w:t xml:space="preserve">,</w:t>
      </w:r>
      <w:r>
        <w:t xml:space="preserve"> </w:t>
      </w:r>
      <w:r>
        <w:rPr>
          <w:rStyle w:val="VerbatimChar"/>
        </w:rPr>
        <w:t xml:space="preserve">POST .../reviews/{id}/records-export</w:t>
      </w:r>
      <w:r>
        <w:t xml:space="preserve">): persistent. Every</w:t>
      </w:r>
      <w:r>
        <w:t xml:space="preserve"> </w:t>
      </w:r>
      <w:r>
        <w:t xml:space="preserve">write requires the</w:t>
      </w:r>
      <w:r>
        <w:t xml:space="preserve"> </w:t>
      </w:r>
      <w:r>
        <w:rPr>
          <w:b/>
          <w:bCs/>
        </w:rPr>
        <w:t xml:space="preserve">trusted-write token</w:t>
      </w:r>
      <w:r>
        <w:t xml:space="preserve">.</w:t>
      </w:r>
    </w:p>
    <w:p>
      <w:pPr>
        <w:pStyle w:val="SourceCode"/>
      </w:pPr>
      <w:r>
        <w:rPr>
          <w:rStyle w:val="VerbatimChar"/>
        </w:rPr>
        <w:t xml:space="preserve">sequenceDiagram</w:t>
      </w:r>
      <w:r>
        <w:br/>
      </w:r>
      <w:r>
        <w:rPr>
          <w:rStyle w:val="VerbatimChar"/>
        </w:rPr>
        <w:t xml:space="preserve">  participant R as Resident (public)</w:t>
      </w:r>
      <w:r>
        <w:br/>
      </w:r>
      <w:r>
        <w:rPr>
          <w:rStyle w:val="VerbatimChar"/>
        </w:rPr>
        <w:t xml:space="preserve">  participant S as City staff</w:t>
      </w:r>
      <w:r>
        <w:br/>
      </w:r>
      <w:r>
        <w:rPr>
          <w:rStyle w:val="VerbatimChar"/>
        </w:rPr>
        <w:t xml:space="preserve">  participant CA as Townlight Access</w:t>
      </w:r>
      <w:r>
        <w:br/>
      </w:r>
      <w:r>
        <w:rPr>
          <w:rStyle w:val="VerbatimChar"/>
        </w:rPr>
        <w:t xml:space="preserve">  participant DB as PostgreSQL (townlight_access schema)</w:t>
      </w:r>
      <w:r>
        <w:br/>
      </w:r>
      <w:r>
        <w:br/>
      </w:r>
      <w:r>
        <w:rPr>
          <w:rStyle w:val="VerbatimChar"/>
        </w:rPr>
        <w:t xml:space="preserve">  R-&gt;&gt;CA: POST /analyze (no token)</w:t>
      </w:r>
      <w:r>
        <w:br/>
      </w:r>
      <w:r>
        <w:rPr>
          <w:rStyle w:val="VerbatimChar"/>
        </w:rPr>
        <w:t xml:space="preserve">  CA--&gt;&gt;R: findings + fixes (nothing saved)</w:t>
      </w:r>
      <w:r>
        <w:br/>
      </w:r>
      <w:r>
        <w:br/>
      </w:r>
      <w:r>
        <w:rPr>
          <w:rStyle w:val="VerbatimChar"/>
        </w:rPr>
        <w:t xml:space="preserve">  S-&gt;&gt;CA: POST /review + X-Townlight-Access-Write-Token</w:t>
      </w:r>
      <w:r>
        <w:br/>
      </w:r>
      <w:r>
        <w:rPr>
          <w:rStyle w:val="VerbatimChar"/>
        </w:rPr>
        <w:t xml:space="preserve">  Note over CA: constant-time token check&lt;br/&gt;403 if invalid · 503 if unconfigured</w:t>
      </w:r>
      <w:r>
        <w:br/>
      </w:r>
      <w:r>
        <w:rPr>
          <w:rStyle w:val="VerbatimChar"/>
        </w:rPr>
        <w:t xml:space="preserve">  CA-&gt;&gt;DB: insert review + audit row (one transaction)</w:t>
      </w:r>
      <w:r>
        <w:br/>
      </w:r>
      <w:r>
        <w:rPr>
          <w:rStyle w:val="VerbatimChar"/>
        </w:rPr>
        <w:t xml:space="preserve">  CA--&gt;&gt;S: saved review_id + findings</w:t>
      </w:r>
      <w:r>
        <w:br/>
      </w:r>
      <w:r>
        <w:br/>
      </w:r>
      <w:r>
        <w:rPr>
          <w:rStyle w:val="VerbatimChar"/>
        </w:rPr>
        <w:t xml:space="preserve">  S-&gt;&gt;CA: POST /reviews/{id}/records-export + token</w:t>
      </w:r>
      <w:r>
        <w:br/>
      </w:r>
      <w:r>
        <w:rPr>
          <w:rStyle w:val="VerbatimChar"/>
        </w:rPr>
        <w:t xml:space="preserve">  CA-&gt;&gt;DB: write audit_events row</w:t>
      </w:r>
      <w:r>
        <w:br/>
      </w:r>
      <w:r>
        <w:rPr>
          <w:rStyle w:val="VerbatimChar"/>
        </w:rPr>
        <w:t xml:space="preserve">  CA--&gt;&gt;S: records-ready export</w:t>
      </w:r>
    </w:p>
    <w:bookmarkEnd w:id="24"/>
    <w:bookmarkStart w:id="25" w:name="persistence-configuration"/>
    <w:p>
      <w:pPr>
        <w:pStyle w:val="Heading3"/>
      </w:pPr>
      <w:r>
        <w:t xml:space="preserve">Persistence &amp; configuration</w:t>
      </w:r>
    </w:p>
    <w:p>
      <w:pPr>
        <w:pStyle w:val="FirstParagraph"/>
      </w:pPr>
      <w:r>
        <w:t xml:space="preserve">Townlight Access resolves its review store in this order:</w:t>
      </w:r>
    </w:p>
    <w:p>
      <w:pPr>
        <w:pStyle w:val="Compact"/>
        <w:numPr>
          <w:ilvl w:val="0"/>
          <w:numId w:val="1009"/>
        </w:numPr>
      </w:pPr>
      <w:r>
        <w:rPr>
          <w:rStyle w:val="VerbatimChar"/>
        </w:rPr>
        <w:t xml:space="preserve">TOWNLIGHT_ACCESS_REVIEW_DB_URL</w:t>
      </w:r>
      <w:r>
        <w:t xml:space="preserve"> </w:t>
      </w:r>
      <w:r>
        <w:t xml:space="preserve">— explicit override (a</w:t>
      </w:r>
      <w:r>
        <w:t xml:space="preserve"> </w:t>
      </w:r>
      <w:r>
        <w:t xml:space="preserve">dev SQLite path or a pre-built Postgres URL).</w:t>
      </w:r>
    </w:p>
    <w:p>
      <w:pPr>
        <w:pStyle w:val="Compact"/>
        <w:numPr>
          <w:ilvl w:val="0"/>
          <w:numId w:val="1009"/>
        </w:numPr>
      </w:pPr>
      <w:r>
        <w:rPr>
          <w:rStyle w:val="VerbatimChar"/>
        </w:rPr>
        <w:t xml:space="preserve">DATABASE_URL</w:t>
      </w:r>
      <w:r>
        <w:t xml:space="preserve"> </w:t>
      </w:r>
      <w:r>
        <w:t xml:space="preserve">— the supervisor-injected async URL</w:t>
      </w:r>
      <w:r>
        <w:t xml:space="preserve"> </w:t>
      </w:r>
      <w:r>
        <w:t xml:space="preserve">(</w:t>
      </w:r>
      <w:r>
        <w:rPr>
          <w:rStyle w:val="VerbatimChar"/>
        </w:rPr>
        <w:t xml:space="preserve">postgresql+asyncpg://…:15432/…</w:t>
      </w:r>
      <w:r>
        <w:t xml:space="preserve">), converted to a</w:t>
      </w:r>
      <w:r>
        <w:t xml:space="preserve"> </w:t>
      </w:r>
      <w:r>
        <w:t xml:space="preserve">synchronous psycopg2 URL.</w:t>
      </w:r>
      <w:r>
        <w:t xml:space="preserve"> </w:t>
      </w:r>
      <w:r>
        <w:rPr>
          <w:b/>
          <w:bCs/>
        </w:rPr>
        <w:t xml:space="preserve">This applies when the standalone service is supplied that environment variable.</w:t>
      </w:r>
    </w:p>
    <w:p>
      <w:pPr>
        <w:pStyle w:val="Compact"/>
        <w:numPr>
          <w:ilvl w:val="0"/>
          <w:numId w:val="1009"/>
        </w:numPr>
      </w:pPr>
      <w:r>
        <w:rPr>
          <w:b/>
          <w:bCs/>
        </w:rPr>
        <w:t xml:space="preserve">SQLite dev fallback</w:t>
      </w:r>
      <w:r>
        <w:t xml:space="preserve"> </w:t>
      </w:r>
      <w:r>
        <w:t xml:space="preserve">—</w:t>
      </w:r>
      <w:r>
        <w:t xml:space="preserve"> </w:t>
      </w:r>
      <w:r>
        <w:rPr>
          <w:rStyle w:val="VerbatimChar"/>
        </w:rPr>
        <w:t xml:space="preserve">data/townlight_access-reviews.db</w:t>
      </w:r>
      <w:r>
        <w:t xml:space="preserve"> </w:t>
      </w:r>
      <w:r>
        <w:t xml:space="preserve">under</w:t>
      </w:r>
      <w:r>
        <w:t xml:space="preserve"> </w:t>
      </w:r>
      <w:r>
        <w:rPr>
          <w:rStyle w:val="VerbatimChar"/>
        </w:rPr>
        <w:t xml:space="preserve">TOWNLIGHT_ACCESS_DATA_DIR</w:t>
      </w:r>
      <w:r>
        <w:t xml:space="preserve"> </w:t>
      </w:r>
      <w:r>
        <w:t xml:space="preserve">(default:</w:t>
      </w:r>
      <w:r>
        <w:t xml:space="preserve"> </w:t>
      </w:r>
      <w:r>
        <w:rPr>
          <w:rStyle w:val="VerbatimChar"/>
        </w:rPr>
        <w:t xml:space="preserve">./data</w:t>
      </w:r>
      <w:r>
        <w:t xml:space="preserve">),</w:t>
      </w:r>
      <w:r>
        <w:t xml:space="preserve"> </w:t>
      </w:r>
      <w:r>
        <w:t xml:space="preserve">used only when neither variable is set.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Variable</w:t>
            </w:r>
          </w:p>
        </w:tc>
        <w:tc>
          <w:tcPr/>
          <w:p>
            <w:pPr>
              <w:pStyle w:val="Compact"/>
            </w:pPr>
            <w:r>
              <w:t xml:space="preserve">Purpose</w:t>
            </w:r>
          </w:p>
        </w:tc>
      </w:tr>
      <w:tr>
        <w:tc>
          <w:tcPr/>
          <w:p>
            <w:pPr>
              <w:pStyle w:val="Compact"/>
            </w:pPr>
            <w:r>
              <w:rPr>
                <w:rStyle w:val="VerbatimChar"/>
              </w:rPr>
              <w:t xml:space="preserve">DATABASE_URL</w:t>
            </w:r>
          </w:p>
        </w:tc>
        <w:tc>
          <w:tcPr/>
          <w:p>
            <w:pPr>
              <w:pStyle w:val="Compact"/>
            </w:pPr>
            <w:r>
              <w:t xml:space="preserve">Shared Townlight Core PostgreSQL (set by the supervisor) — the</w:t>
            </w:r>
            <w:r>
              <w:t xml:space="preserve"> </w:t>
            </w:r>
            <w:r>
              <w:t xml:space="preserve">production default</w:t>
            </w:r>
          </w:p>
        </w:tc>
      </w:tr>
      <w:tr>
        <w:tc>
          <w:tcPr/>
          <w:p>
            <w:pPr>
              <w:pStyle w:val="Compact"/>
            </w:pPr>
            <w:r>
              <w:rPr>
                <w:rStyle w:val="VerbatimChar"/>
              </w:rPr>
              <w:t xml:space="preserve">TOWNLIGHT_ACCESS_REVIEW_DB_URL</w:t>
            </w:r>
          </w:p>
        </w:tc>
        <w:tc>
          <w:tcPr/>
          <w:p>
            <w:pPr>
              <w:pStyle w:val="Compact"/>
            </w:pPr>
            <w:r>
              <w:t xml:space="preserve">Explicit SQLAlchemy URL override</w:t>
            </w:r>
          </w:p>
        </w:tc>
      </w:tr>
      <w:tr>
        <w:tc>
          <w:tcPr/>
          <w:p>
            <w:pPr>
              <w:pStyle w:val="Compact"/>
            </w:pPr>
            <w:r>
              <w:rPr>
                <w:rStyle w:val="VerbatimChar"/>
              </w:rPr>
              <w:t xml:space="preserve">TOWNLIGHT_ACCESS_DATA_DIR</w:t>
            </w:r>
          </w:p>
        </w:tc>
        <w:tc>
          <w:tcPr/>
          <w:p>
            <w:pPr>
              <w:pStyle w:val="Compact"/>
            </w:pPr>
            <w:r>
              <w:t xml:space="preserve">Directory for the SQLite dev fallback</w:t>
            </w:r>
          </w:p>
        </w:tc>
      </w:tr>
      <w:tr>
        <w:tc>
          <w:tcPr/>
          <w:p>
            <w:pPr>
              <w:pStyle w:val="Compact"/>
            </w:pPr>
            <w:r>
              <w:rPr>
                <w:rStyle w:val="VerbatimChar"/>
              </w:rPr>
              <w:t xml:space="preserve">TOWNLIGHT_ACCESS_TRUSTED_WRITE_TOKEN</w:t>
            </w:r>
          </w:p>
        </w:tc>
        <w:tc>
          <w:tcPr/>
          <w:p>
            <w:pPr>
              <w:pStyle w:val="Compact"/>
            </w:pPr>
            <w:r>
              <w:rPr>
                <w:b/>
                <w:bCs/>
              </w:rPr>
              <w:t xml:space="preserve">Required</w:t>
            </w:r>
            <w:r>
              <w:t xml:space="preserve"> </w:t>
            </w:r>
            <w:r>
              <w:t xml:space="preserve">server secret for persistent writes</w:t>
            </w:r>
          </w:p>
        </w:tc>
      </w:tr>
    </w:tbl>
    <w:p>
      <w:pPr>
        <w:pStyle w:val="BodyText"/>
      </w:pPr>
      <w:r>
        <w:rPr>
          <w:rStyle w:val="VerbatimChar"/>
        </w:rPr>
        <w:t xml:space="preserve">townlight_access-db-status</w:t>
      </w:r>
      <w:r>
        <w:t xml:space="preserve"> </w:t>
      </w:r>
      <w:r>
        <w:t xml:space="preserve">(console script) preflights a</w:t>
      </w:r>
      <w:r>
        <w:t xml:space="preserve"> </w:t>
      </w:r>
      <w:r>
        <w:t xml:space="preserve">database with an explicit URL.</w:t>
      </w:r>
    </w:p>
    <w:bookmarkEnd w:id="25"/>
    <w:bookmarkStart w:id="26" w:name="data-model"/>
    <w:p>
      <w:pPr>
        <w:pStyle w:val="Heading3"/>
      </w:pPr>
      <w:r>
        <w:t xml:space="preserve">Data model</w:t>
      </w:r>
    </w:p>
    <w:p>
      <w:pPr>
        <w:pStyle w:val="FirstParagraph"/>
      </w:pPr>
      <w:r>
        <w:t xml:space="preserve">Three tables live in the</w:t>
      </w:r>
      <w:r>
        <w:t xml:space="preserve"> </w:t>
      </w:r>
      <w:r>
        <w:rPr>
          <w:rStyle w:val="VerbatimChar"/>
        </w:rPr>
        <w:t xml:space="preserve">townlight_access</w:t>
      </w:r>
      <w:r>
        <w:t xml:space="preserve"> </w:t>
      </w:r>
      <w:r>
        <w:t xml:space="preserve">schema</w:t>
      </w:r>
      <w:r>
        <w:t xml:space="preserve"> </w:t>
      </w:r>
      <w:r>
        <w:t xml:space="preserve">(translated to the default schema on SQLite). Schema setup is</w:t>
      </w:r>
      <w:r>
        <w:t xml:space="preserve"> </w:t>
      </w:r>
      <w:r>
        <w:t xml:space="preserve">non-destructive (</w:t>
      </w:r>
      <w:r>
        <w:rPr>
          <w:rStyle w:val="VerbatimChar"/>
        </w:rPr>
        <w:t xml:space="preserve">CREATE SCHEMA IF NOT EXISTS</w:t>
      </w:r>
      <w:r>
        <w:t xml:space="preserve"> </w:t>
      </w:r>
      <w:r>
        <w:t xml:space="preserve">+</w:t>
      </w:r>
      <w:r>
        <w:t xml:space="preserve"> </w:t>
      </w:r>
      <w:r>
        <w:rPr>
          <w:rStyle w:val="VerbatimChar"/>
        </w:rPr>
        <w:t xml:space="preserve">metadata.create_all</w:t>
      </w:r>
      <w:r>
        <w:t xml:space="preserve">); the applied migration id is</w:t>
      </w:r>
      <w:r>
        <w:t xml:space="preserve"> </w:t>
      </w:r>
      <w:r>
        <w:rPr>
          <w:rStyle w:val="VerbatimChar"/>
        </w:rPr>
        <w:t xml:space="preserve">townlight_access-windows-local-state-v1</w:t>
      </w:r>
      <w:r>
        <w:t xml:space="preserve">.</w:t>
      </w:r>
    </w:p>
    <w:p>
      <w:pPr>
        <w:pStyle w:val="SourceCode"/>
      </w:pPr>
      <w:r>
        <w:rPr>
          <w:rStyle w:val="VerbatimChar"/>
        </w:rPr>
        <w:t xml:space="preserve">erDiagram</w:t>
      </w:r>
      <w:r>
        <w:br/>
      </w:r>
      <w:r>
        <w:rPr>
          <w:rStyle w:val="VerbatimChar"/>
        </w:rPr>
        <w:t xml:space="preserve">  accessibility_review_records {</w:t>
      </w:r>
      <w:r>
        <w:br/>
      </w:r>
      <w:r>
        <w:rPr>
          <w:rStyle w:val="VerbatimChar"/>
        </w:rPr>
        <w:t xml:space="preserve">    string   review_id PK</w:t>
      </w:r>
      <w:r>
        <w:br/>
      </w:r>
      <w:r>
        <w:rPr>
          <w:rStyle w:val="VerbatimChar"/>
        </w:rPr>
        <w:t xml:space="preserve">    string   title</w:t>
      </w:r>
      <w:r>
        <w:br/>
      </w:r>
      <w:r>
        <w:rPr>
          <w:rStyle w:val="VerbatimChar"/>
        </w:rPr>
        <w:t xml:space="preserve">    text     body</w:t>
      </w:r>
      <w:r>
        <w:br/>
      </w:r>
      <w:r>
        <w:rPr>
          <w:rStyle w:val="VerbatimChar"/>
        </w:rPr>
        <w:t xml:space="preserve">    bool     has_alt_text</w:t>
      </w:r>
      <w:r>
        <w:br/>
      </w:r>
      <w:r>
        <w:rPr>
          <w:rStyle w:val="VerbatimChar"/>
        </w:rPr>
        <w:t xml:space="preserve">    string   language</w:t>
      </w:r>
      <w:r>
        <w:br/>
      </w:r>
      <w:r>
        <w:rPr>
          <w:rStyle w:val="VerbatimChar"/>
        </w:rPr>
        <w:t xml:space="preserve">    string   status</w:t>
      </w:r>
      <w:r>
        <w:br/>
      </w:r>
      <w:r>
        <w:rPr>
          <w:rStyle w:val="VerbatimChar"/>
        </w:rPr>
        <w:t xml:space="preserve">    json     findings</w:t>
      </w:r>
      <w:r>
        <w:br/>
      </w:r>
      <w:r>
        <w:rPr>
          <w:rStyle w:val="VerbatimChar"/>
        </w:rPr>
        <w:t xml:space="preserve">    text     disclaimer</w:t>
      </w:r>
      <w:r>
        <w:br/>
      </w:r>
      <w:r>
        <w:rPr>
          <w:rStyle w:val="VerbatimChar"/>
        </w:rPr>
        <w:t xml:space="preserve">    datetime created_at</w:t>
      </w:r>
      <w:r>
        <w:br/>
      </w:r>
      <w:r>
        <w:rPr>
          <w:rStyle w:val="VerbatimChar"/>
        </w:rPr>
        <w:t xml:space="preserve">  }</w:t>
      </w:r>
      <w:r>
        <w:br/>
      </w:r>
      <w:r>
        <w:rPr>
          <w:rStyle w:val="VerbatimChar"/>
        </w:rPr>
        <w:t xml:space="preserve">  audit_events {</w:t>
      </w:r>
      <w:r>
        <w:br/>
      </w:r>
      <w:r>
        <w:rPr>
          <w:rStyle w:val="VerbatimChar"/>
        </w:rPr>
        <w:t xml:space="preserve">    string   event_id PK</w:t>
      </w:r>
      <w:r>
        <w:br/>
      </w:r>
      <w:r>
        <w:rPr>
          <w:rStyle w:val="VerbatimChar"/>
        </w:rPr>
        <w:t xml:space="preserve">    string   action</w:t>
      </w:r>
      <w:r>
        <w:br/>
      </w:r>
      <w:r>
        <w:rPr>
          <w:rStyle w:val="VerbatimChar"/>
        </w:rPr>
        <w:t xml:space="preserve">    string   subject_id "soft ref → review_id"</w:t>
      </w:r>
      <w:r>
        <w:br/>
      </w:r>
      <w:r>
        <w:rPr>
          <w:rStyle w:val="VerbatimChar"/>
        </w:rPr>
        <w:t xml:space="preserve">    string   actor</w:t>
      </w:r>
      <w:r>
        <w:br/>
      </w:r>
      <w:r>
        <w:rPr>
          <w:rStyle w:val="VerbatimChar"/>
        </w:rPr>
        <w:t xml:space="preserve">    datetime created_at</w:t>
      </w:r>
      <w:r>
        <w:br/>
      </w:r>
      <w:r>
        <w:rPr>
          <w:rStyle w:val="VerbatimChar"/>
        </w:rPr>
        <w:t xml:space="preserve">  }</w:t>
      </w:r>
      <w:r>
        <w:br/>
      </w:r>
      <w:r>
        <w:rPr>
          <w:rStyle w:val="VerbatimChar"/>
        </w:rPr>
        <w:t xml:space="preserve">  schema_migrations {</w:t>
      </w:r>
      <w:r>
        <w:br/>
      </w:r>
      <w:r>
        <w:rPr>
          <w:rStyle w:val="VerbatimChar"/>
        </w:rPr>
        <w:t xml:space="preserve">    string   schema_version PK</w:t>
      </w:r>
      <w:r>
        <w:br/>
      </w:r>
      <w:r>
        <w:rPr>
          <w:rStyle w:val="VerbatimChar"/>
        </w:rPr>
        <w:t xml:space="preserve">    datetime applied_at</w:t>
      </w:r>
      <w:r>
        <w:br/>
      </w:r>
      <w:r>
        <w:rPr>
          <w:rStyle w:val="VerbatimChar"/>
        </w:rPr>
        <w:t xml:space="preserve">  }</w:t>
      </w:r>
    </w:p>
    <w:bookmarkEnd w:id="26"/>
    <w:bookmarkStart w:id="27" w:name="http-api"/>
    <w:p>
      <w:pPr>
        <w:pStyle w:val="Heading3"/>
      </w:pPr>
      <w:r>
        <w:t xml:space="preserve">HTTP API</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Method &amp; path</w:t>
            </w:r>
          </w:p>
        </w:tc>
        <w:tc>
          <w:tcPr/>
          <w:p>
            <w:pPr>
              <w:pStyle w:val="Compact"/>
            </w:pPr>
            <w:r>
              <w:t xml:space="preserve">Auth</w:t>
            </w:r>
          </w:p>
        </w:tc>
        <w:tc>
          <w:tcPr/>
          <w:p>
            <w:pPr>
              <w:pStyle w:val="Compact"/>
            </w:pPr>
            <w:r>
              <w:t xml:space="preserve">Persists?</w:t>
            </w:r>
          </w:p>
        </w:tc>
        <w:tc>
          <w:tcPr/>
          <w:p>
            <w:pPr>
              <w:pStyle w:val="Compact"/>
            </w:pPr>
            <w:r>
              <w:t xml:space="preserve">Purpose</w:t>
            </w:r>
          </w:p>
        </w:tc>
      </w:tr>
      <w:tr>
        <w:tc>
          <w:tcPr/>
          <w:p>
            <w:pPr>
              <w:pStyle w:val="Compact"/>
            </w:pPr>
            <w:r>
              <w:rPr>
                <w:rStyle w:val="VerbatimChar"/>
              </w:rPr>
              <w:t xml:space="preserve">GET /</w:t>
            </w:r>
          </w:p>
        </w:tc>
        <w:tc>
          <w:tcPr/>
          <w:p>
            <w:pPr>
              <w:pStyle w:val="Compact"/>
            </w:pPr>
            <w:r>
              <w:t xml:space="preserve">—</w:t>
            </w:r>
          </w:p>
        </w:tc>
        <w:tc>
          <w:tcPr/>
          <w:p>
            <w:pPr>
              <w:pStyle w:val="Compact"/>
            </w:pPr>
            <w:r>
              <w:t xml:space="preserve">no</w:t>
            </w:r>
          </w:p>
        </w:tc>
        <w:tc>
          <w:tcPr/>
          <w:p>
            <w:pPr>
              <w:pStyle w:val="Compact"/>
            </w:pPr>
            <w:r>
              <w:t xml:space="preserve">Module status and boundaries</w:t>
            </w:r>
          </w:p>
        </w:tc>
      </w:tr>
      <w:tr>
        <w:tc>
          <w:tcPr/>
          <w:p>
            <w:pPr>
              <w:pStyle w:val="Compact"/>
            </w:pPr>
            <w:r>
              <w:rPr>
                <w:rStyle w:val="VerbatimChar"/>
              </w:rPr>
              <w:t xml:space="preserve">GET /health</w:t>
            </w:r>
          </w:p>
        </w:tc>
        <w:tc>
          <w:tcPr/>
          <w:p>
            <w:pPr>
              <w:pStyle w:val="Compact"/>
            </w:pPr>
            <w:r>
              <w:t xml:space="preserve">—</w:t>
            </w:r>
          </w:p>
        </w:tc>
        <w:tc>
          <w:tcPr/>
          <w:p>
            <w:pPr>
              <w:pStyle w:val="Compact"/>
            </w:pPr>
            <w:r>
              <w:t xml:space="preserve">no</w:t>
            </w:r>
          </w:p>
        </w:tc>
        <w:tc>
          <w:tcPr/>
          <w:p>
            <w:pPr>
              <w:pStyle w:val="Compact"/>
            </w:pPr>
            <w:r>
              <w:t xml:space="preserve">Package + Townlight Core version</w:t>
            </w:r>
          </w:p>
        </w:tc>
      </w:tr>
      <w:tr>
        <w:tc>
          <w:tcPr/>
          <w:p>
            <w:pPr>
              <w:pStyle w:val="Compact"/>
            </w:pPr>
            <w:r>
              <w:rPr>
                <w:rStyle w:val="VerbatimChar"/>
              </w:rPr>
              <w:t xml:space="preserve">GET /ready</w:t>
            </w:r>
            <w:r>
              <w:t xml:space="preserve">,</w:t>
            </w:r>
            <w:r>
              <w:t xml:space="preserve"> </w:t>
            </w:r>
            <w:r>
              <w:rPr>
                <w:rStyle w:val="VerbatimChar"/>
              </w:rPr>
              <w:t xml:space="preserve">GET /api/v1/townlight_access/readiness</w:t>
            </w:r>
          </w:p>
        </w:tc>
        <w:tc>
          <w:tcPr/>
          <w:p>
            <w:pPr>
              <w:pStyle w:val="Compact"/>
            </w:pPr>
            <w:r>
              <w:t xml:space="preserve">—</w:t>
            </w:r>
          </w:p>
        </w:tc>
        <w:tc>
          <w:tcPr/>
          <w:p>
            <w:pPr>
              <w:pStyle w:val="Compact"/>
            </w:pPr>
            <w:r>
              <w:t xml:space="preserve">no</w:t>
            </w:r>
          </w:p>
        </w:tc>
        <w:tc>
          <w:tcPr/>
          <w:p>
            <w:pPr>
              <w:pStyle w:val="Compact"/>
            </w:pPr>
            <w:r>
              <w:t xml:space="preserve">Persistence readiness gate</w:t>
            </w:r>
          </w:p>
        </w:tc>
      </w:tr>
      <w:tr>
        <w:tc>
          <w:tcPr/>
          <w:p>
            <w:pPr>
              <w:pStyle w:val="Compact"/>
            </w:pPr>
            <w:r>
              <w:rPr>
                <w:rStyle w:val="VerbatimChar"/>
              </w:rPr>
              <w:t xml:space="preserve">GET /townlight_access</w:t>
            </w:r>
          </w:p>
        </w:tc>
        <w:tc>
          <w:tcPr/>
          <w:p>
            <w:pPr>
              <w:pStyle w:val="Compact"/>
            </w:pPr>
            <w:r>
              <w:t xml:space="preserve">—</w:t>
            </w:r>
          </w:p>
        </w:tc>
        <w:tc>
          <w:tcPr/>
          <w:p>
            <w:pPr>
              <w:pStyle w:val="Compact"/>
            </w:pPr>
            <w:r>
              <w:t xml:space="preserve">no</w:t>
            </w:r>
          </w:p>
        </w:tc>
        <w:tc>
          <w:tcPr/>
          <w:p>
            <w:pPr>
              <w:pStyle w:val="Compact"/>
            </w:pPr>
            <w:r>
              <w:t xml:space="preserve">Public accessibility checker (UI)</w:t>
            </w:r>
          </w:p>
        </w:tc>
      </w:tr>
      <w:tr>
        <w:tc>
          <w:tcPr/>
          <w:p>
            <w:pPr>
              <w:pStyle w:val="Compact"/>
            </w:pPr>
            <w:r>
              <w:rPr>
                <w:rStyle w:val="VerbatimChar"/>
              </w:rPr>
              <w:t xml:space="preserve">GET /townlight_access/staff</w:t>
            </w:r>
          </w:p>
        </w:tc>
        <w:tc>
          <w:tcPr/>
          <w:p>
            <w:pPr>
              <w:pStyle w:val="Compact"/>
            </w:pPr>
            <w:r>
              <w:t xml:space="preserve">—</w:t>
            </w:r>
          </w:p>
        </w:tc>
        <w:tc>
          <w:tcPr/>
          <w:p>
            <w:pPr>
              <w:pStyle w:val="Compact"/>
            </w:pPr>
            <w:r>
              <w:t xml:space="preserve">no</w:t>
            </w:r>
          </w:p>
        </w:tc>
        <w:tc>
          <w:tcPr/>
          <w:p>
            <w:pPr>
              <w:pStyle w:val="Compact"/>
            </w:pPr>
            <w:r>
              <w:t xml:space="preserve">Staff workspace (UI; never embeds the token)</w:t>
            </w:r>
          </w:p>
        </w:tc>
      </w:tr>
      <w:tr>
        <w:tc>
          <w:tcPr/>
          <w:p>
            <w:pPr>
              <w:pStyle w:val="Compact"/>
            </w:pPr>
            <w:r>
              <w:rPr>
                <w:rStyle w:val="VerbatimChar"/>
              </w:rPr>
              <w:t xml:space="preserve">POST /api/v1/townlight_access/analyze</w:t>
            </w:r>
          </w:p>
        </w:tc>
        <w:tc>
          <w:tcPr/>
          <w:p>
            <w:pPr>
              <w:pStyle w:val="Compact"/>
            </w:pPr>
            <w:r>
              <w:t xml:space="preserve">—</w:t>
            </w:r>
          </w:p>
        </w:tc>
        <w:tc>
          <w:tcPr/>
          <w:p>
            <w:pPr>
              <w:pStyle w:val="Compact"/>
            </w:pPr>
            <w:r>
              <w:t xml:space="preserve">no</w:t>
            </w:r>
          </w:p>
        </w:tc>
        <w:tc>
          <w:tcPr/>
          <w:p>
            <w:pPr>
              <w:pStyle w:val="Compact"/>
            </w:pPr>
            <w:r>
              <w:t xml:space="preserve">Stateless accessibility analysis</w:t>
            </w:r>
          </w:p>
        </w:tc>
      </w:tr>
      <w:tr>
        <w:tc>
          <w:tcPr/>
          <w:p>
            <w:pPr>
              <w:pStyle w:val="Compact"/>
            </w:pPr>
            <w:r>
              <w:rPr>
                <w:rStyle w:val="VerbatimChar"/>
              </w:rPr>
              <w:t xml:space="preserve">POST /api/v1/townlight_access/review</w:t>
            </w:r>
          </w:p>
        </w:tc>
        <w:tc>
          <w:tcPr/>
          <w:p>
            <w:pPr>
              <w:pStyle w:val="Compact"/>
            </w:pPr>
            <w:r>
              <w:rPr>
                <w:b/>
                <w:bCs/>
              </w:rPr>
              <w:t xml:space="preserve">token</w:t>
            </w:r>
          </w:p>
        </w:tc>
        <w:tc>
          <w:tcPr/>
          <w:p>
            <w:pPr>
              <w:pStyle w:val="Compact"/>
            </w:pPr>
            <w:r>
              <w:rPr>
                <w:b/>
                <w:bCs/>
              </w:rPr>
              <w:t xml:space="preserve">yes</w:t>
            </w:r>
          </w:p>
        </w:tc>
        <w:tc>
          <w:tcPr/>
          <w:p>
            <w:pPr>
              <w:pStyle w:val="Compact"/>
            </w:pPr>
            <w:r>
              <w:t xml:space="preserve">Save a review record (+ audit)</w:t>
            </w:r>
          </w:p>
        </w:tc>
      </w:tr>
      <w:tr>
        <w:tc>
          <w:tcPr/>
          <w:p>
            <w:pPr>
              <w:pStyle w:val="Compact"/>
            </w:pPr>
            <w:r>
              <w:rPr>
                <w:rStyle w:val="VerbatimChar"/>
              </w:rPr>
              <w:t xml:space="preserve">GET /api/v1/townlight_access/reviews</w:t>
            </w:r>
          </w:p>
        </w:tc>
        <w:tc>
          <w:tcPr/>
          <w:p>
            <w:pPr>
              <w:pStyle w:val="Compact"/>
            </w:pPr>
            <w:r>
              <w:t xml:space="preserve">—</w:t>
            </w:r>
          </w:p>
        </w:tc>
        <w:tc>
          <w:tcPr/>
          <w:p>
            <w:pPr>
              <w:pStyle w:val="Compact"/>
            </w:pPr>
            <w:r>
              <w:t xml:space="preserve">no</w:t>
            </w:r>
          </w:p>
        </w:tc>
        <w:tc>
          <w:tcPr/>
          <w:p>
            <w:pPr>
              <w:pStyle w:val="Compact"/>
            </w:pPr>
            <w:r>
              <w:t xml:space="preserve">List saved reviews</w:t>
            </w:r>
          </w:p>
        </w:tc>
      </w:tr>
      <w:tr>
        <w:tc>
          <w:tcPr/>
          <w:p>
            <w:pPr>
              <w:pStyle w:val="Compact"/>
            </w:pPr>
            <w:r>
              <w:rPr>
                <w:rStyle w:val="VerbatimChar"/>
              </w:rPr>
              <w:t xml:space="preserve">GET /api/v1/townlight_access/reviews/{id}</w:t>
            </w:r>
          </w:p>
        </w:tc>
        <w:tc>
          <w:tcPr/>
          <w:p>
            <w:pPr>
              <w:pStyle w:val="Compact"/>
            </w:pPr>
            <w:r>
              <w:t xml:space="preserve">—</w:t>
            </w:r>
          </w:p>
        </w:tc>
        <w:tc>
          <w:tcPr/>
          <w:p>
            <w:pPr>
              <w:pStyle w:val="Compact"/>
            </w:pPr>
            <w:r>
              <w:t xml:space="preserve">no</w:t>
            </w:r>
          </w:p>
        </w:tc>
        <w:tc>
          <w:tcPr/>
          <w:p>
            <w:pPr>
              <w:pStyle w:val="Compact"/>
            </w:pPr>
            <w:r>
              <w:t xml:space="preserve">Retrieve a saved review</w:t>
            </w:r>
          </w:p>
        </w:tc>
      </w:tr>
      <w:tr>
        <w:tc>
          <w:tcPr/>
          <w:p>
            <w:pPr>
              <w:pStyle w:val="Compact"/>
            </w:pPr>
            <w:r>
              <w:rPr>
                <w:rStyle w:val="VerbatimChar"/>
              </w:rPr>
              <w:t xml:space="preserve">POST /api/v1/townlight_access/reviews/{id}/records-export</w:t>
            </w:r>
          </w:p>
        </w:tc>
        <w:tc>
          <w:tcPr/>
          <w:p>
            <w:pPr>
              <w:pStyle w:val="Compact"/>
            </w:pPr>
            <w:r>
              <w:rPr>
                <w:b/>
                <w:bCs/>
              </w:rPr>
              <w:t xml:space="preserve">token</w:t>
            </w:r>
          </w:p>
        </w:tc>
        <w:tc>
          <w:tcPr/>
          <w:p>
            <w:pPr>
              <w:pStyle w:val="Compact"/>
            </w:pPr>
            <w:r>
              <w:rPr>
                <w:b/>
                <w:bCs/>
              </w:rPr>
              <w:t xml:space="preserve">yes</w:t>
            </w:r>
            <w:r>
              <w:t xml:space="preserve"> </w:t>
            </w:r>
            <w:r>
              <w:t xml:space="preserve">(audit)</w:t>
            </w:r>
          </w:p>
        </w:tc>
        <w:tc>
          <w:tcPr/>
          <w:p>
            <w:pPr>
              <w:pStyle w:val="Compact"/>
            </w:pPr>
            <w:r>
              <w:t xml:space="preserve">Records-ready export (+ audit)</w:t>
            </w:r>
          </w:p>
        </w:tc>
      </w:tr>
      <w:tr>
        <w:tc>
          <w:tcPr/>
          <w:p>
            <w:pPr>
              <w:pStyle w:val="Compact"/>
            </w:pPr>
            <w:r>
              <w:rPr>
                <w:rStyle w:val="VerbatimChar"/>
              </w:rPr>
              <w:t xml:space="preserve">GET /api/v1/townlight_access/integration-contracts</w:t>
            </w:r>
          </w:p>
        </w:tc>
        <w:tc>
          <w:tcPr/>
          <w:p>
            <w:pPr>
              <w:pStyle w:val="Compact"/>
            </w:pPr>
            <w:r>
              <w:t xml:space="preserve">—</w:t>
            </w:r>
          </w:p>
        </w:tc>
        <w:tc>
          <w:tcPr/>
          <w:p>
            <w:pPr>
              <w:pStyle w:val="Compact"/>
            </w:pPr>
            <w:r>
              <w:t xml:space="preserve">no</w:t>
            </w:r>
          </w:p>
        </w:tc>
        <w:tc>
          <w:tcPr/>
          <w:p>
            <w:pPr>
              <w:pStyle w:val="Compact"/>
            </w:pPr>
            <w:r>
              <w:t xml:space="preserve">Published integration contracts</w:t>
            </w:r>
          </w:p>
        </w:tc>
      </w:tr>
      <w:tr>
        <w:tc>
          <w:tcPr/>
          <w:p>
            <w:pPr>
              <w:pStyle w:val="Compact"/>
            </w:pPr>
            <w:r>
              <w:rPr>
                <w:rStyle w:val="VerbatimChar"/>
              </w:rPr>
              <w:t xml:space="preserve">POST /api/v1/townlight_access/plain-language</w:t>
            </w:r>
          </w:p>
        </w:tc>
        <w:tc>
          <w:tcPr/>
          <w:p>
            <w:pPr>
              <w:pStyle w:val="Compact"/>
            </w:pPr>
            <w:r>
              <w:t xml:space="preserve">—</w:t>
            </w:r>
          </w:p>
        </w:tc>
        <w:tc>
          <w:tcPr/>
          <w:p>
            <w:pPr>
              <w:pStyle w:val="Compact"/>
            </w:pPr>
            <w:r>
              <w:t xml:space="preserve">no</w:t>
            </w:r>
          </w:p>
        </w:tc>
        <w:tc>
          <w:tcPr/>
          <w:p>
            <w:pPr>
              <w:pStyle w:val="Compact"/>
            </w:pPr>
            <w:r>
              <w:t xml:space="preserve">Deterministic plain-language rewrite</w:t>
            </w:r>
          </w:p>
        </w:tc>
      </w:tr>
      <w:tr>
        <w:tc>
          <w:tcPr/>
          <w:p>
            <w:pPr>
              <w:pStyle w:val="Compact"/>
            </w:pPr>
            <w:r>
              <w:rPr>
                <w:rStyle w:val="VerbatimChar"/>
              </w:rPr>
              <w:t xml:space="preserve">POST /api/v1/townlight_access/language-variant</w:t>
            </w:r>
          </w:p>
        </w:tc>
        <w:tc>
          <w:tcPr/>
          <w:p>
            <w:pPr>
              <w:pStyle w:val="Compact"/>
            </w:pPr>
            <w:r>
              <w:t xml:space="preserve">—</w:t>
            </w:r>
          </w:p>
        </w:tc>
        <w:tc>
          <w:tcPr/>
          <w:p>
            <w:pPr>
              <w:pStyle w:val="Compact"/>
            </w:pPr>
            <w:r>
              <w:t xml:space="preserve">no</w:t>
            </w:r>
          </w:p>
        </w:tc>
        <w:tc>
          <w:tcPr/>
          <w:p>
            <w:pPr>
              <w:pStyle w:val="Compact"/>
            </w:pPr>
            <w:r>
              <w:t xml:space="preserve">Multilingual draft variant (human-review flagged)</w:t>
            </w:r>
          </w:p>
        </w:tc>
      </w:tr>
      <w:tr>
        <w:tc>
          <w:tcPr/>
          <w:p>
            <w:pPr>
              <w:pStyle w:val="Compact"/>
            </w:pPr>
            <w:r>
              <w:rPr>
                <w:rStyle w:val="VerbatimChar"/>
              </w:rPr>
              <w:t xml:space="preserve">POST /api/v1/townlight_access/forms</w:t>
            </w:r>
          </w:p>
        </w:tc>
        <w:tc>
          <w:tcPr/>
          <w:p>
            <w:pPr>
              <w:pStyle w:val="Compact"/>
            </w:pPr>
            <w:r>
              <w:t xml:space="preserve">—</w:t>
            </w:r>
          </w:p>
        </w:tc>
        <w:tc>
          <w:tcPr/>
          <w:p>
            <w:pPr>
              <w:pStyle w:val="Compact"/>
            </w:pPr>
            <w:r>
              <w:t xml:space="preserve">no</w:t>
            </w:r>
          </w:p>
        </w:tc>
        <w:tc>
          <w:tcPr/>
          <w:p>
            <w:pPr>
              <w:pStyle w:val="Compact"/>
            </w:pPr>
            <w:r>
              <w:t xml:space="preserve">Accessible form publication checks</w:t>
            </w:r>
          </w:p>
        </w:tc>
      </w:tr>
      <w:tr>
        <w:tc>
          <w:tcPr/>
          <w:p>
            <w:pPr>
              <w:pStyle w:val="Compact"/>
            </w:pPr>
            <w:r>
              <w:rPr>
                <w:rStyle w:val="VerbatimChar"/>
              </w:rPr>
              <w:t xml:space="preserve">POST /api/v1/townlight_access/publishing-workflow</w:t>
            </w:r>
          </w:p>
        </w:tc>
        <w:tc>
          <w:tcPr/>
          <w:p>
            <w:pPr>
              <w:pStyle w:val="Compact"/>
            </w:pPr>
            <w:r>
              <w:t xml:space="preserve">—</w:t>
            </w:r>
          </w:p>
        </w:tc>
        <w:tc>
          <w:tcPr/>
          <w:p>
            <w:pPr>
              <w:pStyle w:val="Compact"/>
            </w:pPr>
            <w:r>
              <w:t xml:space="preserve">no</w:t>
            </w:r>
          </w:p>
        </w:tc>
        <w:tc>
          <w:tcPr/>
          <w:p>
            <w:pPr>
              <w:pStyle w:val="Compact"/>
            </w:pPr>
            <w:r>
              <w:t xml:space="preserve">Staff publication workflow steps/blockers</w:t>
            </w:r>
          </w:p>
        </w:tc>
      </w:tr>
      <w:tr>
        <w:tc>
          <w:tcPr/>
          <w:p>
            <w:pPr>
              <w:pStyle w:val="Compact"/>
            </w:pPr>
            <w:r>
              <w:rPr>
                <w:rStyle w:val="VerbatimChar"/>
              </w:rPr>
              <w:t xml:space="preserve">POST /api/v1/townlight_access/ada-title-ii</w:t>
            </w:r>
          </w:p>
        </w:tc>
        <w:tc>
          <w:tcPr/>
          <w:p>
            <w:pPr>
              <w:pStyle w:val="Compact"/>
            </w:pPr>
            <w:r>
              <w:t xml:space="preserve">—</w:t>
            </w:r>
          </w:p>
        </w:tc>
        <w:tc>
          <w:tcPr/>
          <w:p>
            <w:pPr>
              <w:pStyle w:val="Compact"/>
            </w:pPr>
            <w:r>
              <w:t xml:space="preserve">no</w:t>
            </w:r>
          </w:p>
        </w:tc>
        <w:tc>
          <w:tcPr/>
          <w:p>
            <w:pPr>
              <w:pStyle w:val="Compact"/>
            </w:pPr>
            <w:r>
              <w:t xml:space="preserve">ADA Title II review-support checklist</w:t>
            </w:r>
          </w:p>
        </w:tc>
      </w:tr>
      <w:tr>
        <w:tc>
          <w:tcPr/>
          <w:p>
            <w:pPr>
              <w:pStyle w:val="Compact"/>
            </w:pPr>
            <w:r>
              <w:rPr>
                <w:rStyle w:val="VerbatimChar"/>
              </w:rPr>
              <w:t xml:space="preserve">POST /api/v1/townlight_access/tagged-pdf</w:t>
            </w:r>
          </w:p>
        </w:tc>
        <w:tc>
          <w:tcPr/>
          <w:p>
            <w:pPr>
              <w:pStyle w:val="Compact"/>
            </w:pPr>
            <w:r>
              <w:t xml:space="preserve">—</w:t>
            </w:r>
          </w:p>
        </w:tc>
        <w:tc>
          <w:tcPr/>
          <w:p>
            <w:pPr>
              <w:pStyle w:val="Compact"/>
            </w:pPr>
            <w:r>
              <w:t xml:space="preserve">no</w:t>
            </w:r>
          </w:p>
        </w:tc>
        <w:tc>
          <w:tcPr/>
          <w:p>
            <w:pPr>
              <w:pStyle w:val="Compact"/>
            </w:pPr>
            <w:r>
              <w:t xml:space="preserve">Tagged-PDF heading expectations</w:t>
            </w:r>
          </w:p>
        </w:tc>
      </w:tr>
      <w:tr>
        <w:tc>
          <w:tcPr/>
          <w:p>
            <w:pPr>
              <w:pStyle w:val="Compact"/>
            </w:pPr>
            <w:r>
              <w:rPr>
                <w:rStyle w:val="VerbatimChar"/>
              </w:rPr>
              <w:t xml:space="preserve">POST /api/v1/townlight_access/export</w:t>
            </w:r>
          </w:p>
        </w:tc>
        <w:tc>
          <w:tcPr/>
          <w:p>
            <w:pPr>
              <w:pStyle w:val="Compact"/>
            </w:pPr>
            <w:r>
              <w:t xml:space="preserve">—</w:t>
            </w:r>
          </w:p>
        </w:tc>
        <w:tc>
          <w:tcPr/>
          <w:p>
            <w:pPr>
              <w:pStyle w:val="Compact"/>
            </w:pPr>
            <w:r>
              <w:t xml:space="preserve">no</w:t>
            </w:r>
          </w:p>
        </w:tc>
        <w:tc>
          <w:tcPr/>
          <w:p>
            <w:pPr>
              <w:pStyle w:val="Compact"/>
            </w:pPr>
            <w:r>
              <w:t xml:space="preserve">Records-ready export checklist (stateless)</w:t>
            </w:r>
          </w:p>
        </w:tc>
      </w:tr>
    </w:tbl>
    <w:p>
      <w:pPr>
        <w:pStyle w:val="BodyText"/>
      </w:pPr>
      <w:r>
        <w:rPr>
          <w:b/>
          <w:bCs/>
        </w:rPr>
        <w:t xml:space="preserve">Token-guarded writes</w:t>
      </w:r>
      <w:r>
        <w:t xml:space="preserve"> </w:t>
      </w:r>
      <w:r>
        <w:t xml:space="preserve">require the</w:t>
      </w:r>
      <w:r>
        <w:t xml:space="preserve"> </w:t>
      </w:r>
      <w:r>
        <w:rPr>
          <w:rStyle w:val="VerbatimChar"/>
        </w:rPr>
        <w:t xml:space="preserve">X-Townlight-Access-Write-Token</w:t>
      </w:r>
      <w:r>
        <w:t xml:space="preserve"> </w:t>
      </w:r>
      <w:r>
        <w:t xml:space="preserve">header matching</w:t>
      </w:r>
      <w:r>
        <w:t xml:space="preserve"> </w:t>
      </w:r>
      <w:r>
        <w:rPr>
          <w:rStyle w:val="VerbatimChar"/>
        </w:rPr>
        <w:t xml:space="preserve">TOWNLIGHT_ACCESS_TRUSTED_WRITE_TOKEN</w:t>
      </w:r>
      <w:r>
        <w:t xml:space="preserve"> </w:t>
      </w:r>
      <w:r>
        <w:t xml:space="preserve">(compared in constant</w:t>
      </w:r>
      <w:r>
        <w:t xml:space="preserve"> </w:t>
      </w:r>
      <w:r>
        <w:t xml:space="preserve">time). Missing/invalid →</w:t>
      </w:r>
      <w:r>
        <w:t xml:space="preserve"> </w:t>
      </w:r>
      <w:r>
        <w:rPr>
          <w:rStyle w:val="VerbatimChar"/>
        </w:rPr>
        <w:t xml:space="preserve">403</w:t>
      </w:r>
      <w:r>
        <w:t xml:space="preserve">; guard not configured →</w:t>
      </w:r>
      <w:r>
        <w:t xml:space="preserve"> </w:t>
      </w:r>
      <w:r>
        <w:rPr>
          <w:rStyle w:val="VerbatimChar"/>
        </w:rPr>
        <w:t xml:space="preserve">503</w:t>
      </w:r>
      <w:r>
        <w:t xml:space="preserve"> </w:t>
      </w:r>
      <w:r>
        <w:t xml:space="preserve">(fails closed). The server token is never embedded in</w:t>
      </w:r>
      <w:r>
        <w:t xml:space="preserve"> </w:t>
      </w:r>
      <w:r>
        <w:t xml:space="preserve">served HTML — the staff page provides a field where an operator pastes</w:t>
      </w:r>
      <w:r>
        <w:t xml:space="preserve"> </w:t>
      </w:r>
      <w:r>
        <w:t xml:space="preserve">it; it is kept only in the browser session.</w:t>
      </w:r>
    </w:p>
    <w:bookmarkEnd w:id="27"/>
    <w:bookmarkStart w:id="28" w:name="security"/>
    <w:p>
      <w:pPr>
        <w:pStyle w:val="Heading3"/>
      </w:pPr>
      <w:r>
        <w:t xml:space="preserve">Security</w:t>
      </w:r>
    </w:p>
    <w:p>
      <w:pPr>
        <w:pStyle w:val="Compact"/>
        <w:numPr>
          <w:ilvl w:val="0"/>
          <w:numId w:val="1010"/>
        </w:numPr>
      </w:pPr>
      <w:r>
        <w:rPr>
          <w:b/>
          <w:bCs/>
        </w:rPr>
        <w:t xml:space="preserve">Authentication boundary:</w:t>
      </w:r>
      <w:r>
        <w:t xml:space="preserve"> </w:t>
      </w:r>
      <w:r>
        <w:t xml:space="preserve">persistence-write routes</w:t>
      </w:r>
      <w:r>
        <w:t xml:space="preserve"> </w:t>
      </w:r>
      <w:r>
        <w:t xml:space="preserve">require the trusted-write token; read and stateless-analysis routes are</w:t>
      </w:r>
      <w:r>
        <w:t xml:space="preserve"> </w:t>
      </w:r>
      <w:r>
        <w:t xml:space="preserve">open. The desktop supervisor binds the service to the local</w:t>
      </w:r>
      <w:r>
        <w:t xml:space="preserve"> </w:t>
      </w:r>
      <w:r>
        <w:t xml:space="preserve">machine.</w:t>
      </w:r>
    </w:p>
    <w:p>
      <w:pPr>
        <w:pStyle w:val="Compact"/>
        <w:numPr>
          <w:ilvl w:val="0"/>
          <w:numId w:val="1010"/>
        </w:numPr>
      </w:pPr>
      <w:r>
        <w:rPr>
          <w:b/>
          <w:bCs/>
        </w:rPr>
        <w:t xml:space="preserve">Audit trail:</w:t>
      </w:r>
      <w:r>
        <w:t xml:space="preserve"> </w:t>
      </w:r>
      <w:r>
        <w:t xml:space="preserve">every persistent write/export writes</w:t>
      </w:r>
      <w:r>
        <w:t xml:space="preserve"> </w:t>
      </w:r>
      <w:r>
        <w:t xml:space="preserve">an</w:t>
      </w:r>
      <w:r>
        <w:t xml:space="preserve"> </w:t>
      </w:r>
      <w:r>
        <w:rPr>
          <w:rStyle w:val="VerbatimChar"/>
        </w:rPr>
        <w:t xml:space="preserve">audit_events</w:t>
      </w:r>
      <w:r>
        <w:t xml:space="preserve"> </w:t>
      </w:r>
      <w:r>
        <w:t xml:space="preserve">row (action, subject, actor, timestamp).</w:t>
      </w:r>
      <w:r>
        <w:t xml:space="preserve"> </w:t>
      </w:r>
      <w:r>
        <w:rPr>
          <w:rStyle w:val="VerbatimChar"/>
        </w:rPr>
        <w:t xml:space="preserve">review.create</w:t>
      </w:r>
      <w:r>
        <w:t xml:space="preserve"> </w:t>
      </w:r>
      <w:r>
        <w:t xml:space="preserve">is committed atomically with the review</w:t>
      </w:r>
      <w:r>
        <w:t xml:space="preserve"> </w:t>
      </w:r>
      <w:r>
        <w:t xml:space="preserve">record.</w:t>
      </w:r>
    </w:p>
    <w:p>
      <w:pPr>
        <w:pStyle w:val="Compact"/>
        <w:numPr>
          <w:ilvl w:val="0"/>
          <w:numId w:val="1010"/>
        </w:numPr>
      </w:pPr>
      <w:r>
        <w:rPr>
          <w:b/>
          <w:bCs/>
        </w:rPr>
        <w:t xml:space="preserve">Determinism:</w:t>
      </w:r>
      <w:r>
        <w:t xml:space="preserve"> </w:t>
      </w:r>
      <w:r>
        <w:t xml:space="preserve">no model/LLM calls and no outbound</w:t>
      </w:r>
      <w:r>
        <w:t xml:space="preserve"> </w:t>
      </w:r>
      <w:r>
        <w:t xml:space="preserve">network calls; checks are pure functions.</w:t>
      </w:r>
    </w:p>
    <w:p>
      <w:pPr>
        <w:pStyle w:val="Compact"/>
        <w:numPr>
          <w:ilvl w:val="0"/>
          <w:numId w:val="1010"/>
        </w:numPr>
      </w:pPr>
      <w:r>
        <w:rPr>
          <w:b/>
          <w:bCs/>
        </w:rPr>
        <w:t xml:space="preserve">Backups:</w:t>
      </w:r>
      <w:r>
        <w:t xml:space="preserve"> </w:t>
      </w:r>
      <w:r>
        <w:t xml:space="preserve">review and audit data live in the shared</w:t>
      </w:r>
      <w:r>
        <w:t xml:space="preserve"> </w:t>
      </w:r>
      <w:r>
        <w:t xml:space="preserve">Postgres cluster, captured by the supervisor’s wholesale</w:t>
      </w:r>
      <w:r>
        <w:t xml:space="preserve"> </w:t>
      </w:r>
      <w:r>
        <w:rPr>
          <w:rStyle w:val="VerbatimChar"/>
        </w:rPr>
        <w:t xml:space="preserve">Data/</w:t>
      </w:r>
      <w:r>
        <w:t xml:space="preserve"> </w:t>
      </w:r>
      <w:r>
        <w:t xml:space="preserve">backup. Durability is covered by the test suite (a</w:t>
      </w:r>
      <w:r>
        <w:t xml:space="preserve"> </w:t>
      </w:r>
      <w:r>
        <w:t xml:space="preserve">Postgres reconnect round-trip for the default store; a SQLite file</w:t>
      </w:r>
      <w:r>
        <w:t xml:space="preserve"> </w:t>
      </w:r>
      <w:r>
        <w:t xml:space="preserve">backup/restore round-trip for the dev fallback).</w:t>
      </w:r>
    </w:p>
    <w:bookmarkEnd w:id="28"/>
    <w:bookmarkStart w:id="29" w:name="operations"/>
    <w:p>
      <w:pPr>
        <w:pStyle w:val="Heading3"/>
      </w:pPr>
      <w:r>
        <w:t xml:space="preserve">Operations</w:t>
      </w:r>
    </w:p>
    <w:p>
      <w:pPr>
        <w:pStyle w:val="FirstParagraph"/>
      </w:pPr>
      <w:r>
        <w:t xml:space="preserve">Readiness: poll</w:t>
      </w:r>
      <w:r>
        <w:t xml:space="preserve"> </w:t>
      </w:r>
      <w:r>
        <w:rPr>
          <w:rStyle w:val="VerbatimChar"/>
        </w:rPr>
        <w:t xml:space="preserve">GET /ready</w:t>
      </w:r>
      <w:r>
        <w:t xml:space="preserve"> </w:t>
      </w:r>
      <w:r>
        <w:t xml:space="preserve">(or</w:t>
      </w:r>
      <w:r>
        <w:t xml:space="preserve"> </w:t>
      </w:r>
      <w:r>
        <w:rPr>
          <w:rStyle w:val="VerbatimChar"/>
        </w:rPr>
        <w:t xml:space="preserve">/api/v1/townlight_access/readiness</w:t>
      </w:r>
      <w:r>
        <w:t xml:space="preserve">) —</w:t>
      </w:r>
      <w:r>
        <w:t xml:space="preserve"> </w:t>
      </w:r>
      <w:r>
        <w:rPr>
          <w:rStyle w:val="VerbatimChar"/>
        </w:rPr>
        <w:t xml:space="preserve">ready</w:t>
      </w:r>
      <w:r>
        <w:t xml:space="preserve"> </w:t>
      </w:r>
      <w:r>
        <w:t xml:space="preserve">when the schema can be created and verified.</w:t>
      </w:r>
    </w:p>
    <w:p>
      <w:pPr>
        <w:pStyle w:val="BodyText"/>
      </w:pPr>
      <w:r>
        <w:t xml:space="preserve">Local verification (mirrors CI; the release gate requires a real</w:t>
      </w:r>
      <w:r>
        <w:t xml:space="preserve"> </w:t>
      </w:r>
      <w:r>
        <w:t xml:space="preserve">PostgreSQL):</w:t>
      </w:r>
    </w:p>
    <w:p>
      <w:pPr>
        <w:pStyle w:val="SourceCode"/>
      </w:pPr>
      <w:r>
        <w:rPr>
          <w:rStyle w:val="VerbatimChar"/>
        </w:rPr>
        <w:t xml:space="preserve">python scripts/install-core-candidate.py</w:t>
      </w:r>
      <w:r>
        <w:br/>
      </w:r>
      <w:r>
        <w:rPr>
          <w:rStyle w:val="VerbatimChar"/>
        </w:rPr>
        <w:t xml:space="preserve">python -m pip install -e ".[dev]"</w:t>
      </w:r>
      <w:r>
        <w:br/>
      </w:r>
      <w:r>
        <w:rPr>
          <w:rStyle w:val="VerbatimChar"/>
        </w:rPr>
        <w:t xml:space="preserve"># Set TOWNLIGHT_ACCESS_POSTGRES_TEST_URL to an owned disposable database.</w:t>
      </w:r>
      <w:r>
        <w:br/>
      </w:r>
      <w:r>
        <w:rPr>
          <w:rStyle w:val="VerbatimChar"/>
        </w:rPr>
        <w:t xml:space="preserve">bash scripts/verify-release.sh</w:t>
      </w:r>
    </w:p>
    <w:bookmarkEnd w:id="29"/>
    <w:bookmarkStart w:id="30" w:name="integration"/>
    <w:p>
      <w:pPr>
        <w:pStyle w:val="Heading3"/>
      </w:pPr>
      <w:r>
        <w:t xml:space="preserve">Integration</w:t>
      </w:r>
    </w:p>
    <w:p>
      <w:pPr>
        <w:pStyle w:val="FirstParagraph"/>
      </w:pPr>
      <w:r>
        <w:t xml:space="preserve">Townlight Access</w:t>
      </w:r>
      <w:r>
        <w:t xml:space="preserve"> </w:t>
      </w:r>
      <w:r>
        <w:rPr>
          <w:b/>
          <w:bCs/>
        </w:rPr>
        <w:t xml:space="preserve">depends on Townlight Core</w:t>
      </w:r>
      <w:r>
        <w:t xml:space="preserve">;</w:t>
      </w:r>
      <w:r>
        <w:t xml:space="preserve"> </w:t>
      </w:r>
      <w:r>
        <w:t xml:space="preserve">Townlight Core does not depend on Townlight Access. It publishes</w:t>
      </w:r>
      <w:r>
        <w:t xml:space="preserve"> </w:t>
      </w:r>
      <w:r>
        <w:t xml:space="preserve">integration contracts at</w:t>
      </w:r>
      <w:r>
        <w:t xml:space="preserve"> </w:t>
      </w:r>
      <w:r>
        <w:rPr>
          <w:rStyle w:val="VerbatimChar"/>
        </w:rPr>
        <w:t xml:space="preserve">/api/v1/townlight_access/integration-contracts</w:t>
      </w:r>
      <w:r>
        <w:t xml:space="preserve">, hands</w:t>
      </w:r>
      <w:r>
        <w:t xml:space="preserve"> </w:t>
      </w:r>
      <w:r>
        <w:t xml:space="preserve">records exports to</w:t>
      </w:r>
      <w:r>
        <w:t xml:space="preserve"> </w:t>
      </w:r>
      <w:r>
        <w:rPr>
          <w:b/>
          <w:bCs/>
        </w:rPr>
        <w:t xml:space="preserve">Townlight Records</w:t>
      </w:r>
      <w:r>
        <w:t xml:space="preserve">, and provides</w:t>
      </w:r>
      <w:r>
        <w:t xml:space="preserve"> </w:t>
      </w:r>
      <w:r>
        <w:t xml:space="preserve">accessibility support to downstream publishers (zone, plan, permit,</w:t>
      </w:r>
      <w:r>
        <w:t xml:space="preserve"> </w:t>
      </w:r>
      <w:r>
        <w:t xml:space="preserve">inspect, grants, procure).</w:t>
      </w:r>
    </w:p>
    <w:bookmarkEnd w:id="30"/>
    <w:bookmarkStart w:id="31" w:name="release-status"/>
    <w:p>
      <w:pPr>
        <w:pStyle w:val="Heading3"/>
      </w:pPr>
      <w:r>
        <w:t xml:space="preserve">Release status</w:t>
      </w:r>
    </w:p>
    <w:p>
      <w:pPr>
        <w:pStyle w:val="FirstParagraph"/>
      </w:pPr>
      <w:r>
        <w:rPr>
          <w:rStyle w:val="VerbatimChar"/>
        </w:rPr>
        <w:t xml:space="preserve">v0.5.0</w:t>
      </w:r>
      <w:r>
        <w:t xml:space="preserve"> </w:t>
      </w:r>
      <w:r>
        <w:t xml:space="preserve">is an early release. Probe gaps #1–#4 (clean</w:t>
      </w:r>
      <w:r>
        <w:t xml:space="preserve"> </w:t>
      </w:r>
      <w:r>
        <w:t xml:space="preserve">install, staff/public authz, audit logging, backup/restore durability)</w:t>
      </w:r>
      <w:r>
        <w:t xml:space="preserve"> </w:t>
      </w:r>
      <w:r>
        <w:t xml:space="preserve">are closed with evidence (see</w:t>
      </w:r>
      <w:r>
        <w:t xml:space="preserve"> </w:t>
      </w:r>
      <w:r>
        <w:rPr>
          <w:rStyle w:val="VerbatimChar"/>
        </w:rPr>
        <w:t xml:space="preserve">PROBE-PROGRESS.md</w:t>
      </w:r>
      <w:r>
        <w:t xml:space="preserve">). Access 0.5.0 is included in Windows MSI 1.7.0.1. See the</w:t>
      </w:r>
      <w:r>
        <w:t xml:space="preserve"> </w:t>
      </w:r>
      <w:hyperlink r:id="rId11">
        <w:r>
          <w:rPr>
            <w:rStyle w:val="Hyperlink"/>
          </w:rPr>
          <w:t xml:space="preserve">exact installed acceptance and its limits</w:t>
        </w:r>
      </w:hyperlink>
      <w:r>
        <w:t xml:space="preserve">. The earlier</w:t>
      </w:r>
      <w:r>
        <w:t xml:space="preserve"> </w:t>
      </w:r>
      <w:r>
        <w:rPr>
          <w:rStyle w:val="VerbatimChar"/>
        </w:rPr>
        <w:t xml:space="preserve">v1.0.0</w:t>
      </w:r>
      <w:r>
        <w:t xml:space="preserve"> </w:t>
      </w:r>
      <w:r>
        <w:t xml:space="preserve">tag was published in error and is retained only as</w:t>
      </w:r>
      <w:r>
        <w:t xml:space="preserve"> </w:t>
      </w:r>
      <w:r>
        <w:t xml:space="preserve">historical evidence.</w:t>
      </w:r>
    </w:p>
    <w:bookmarkEnd w:id="31"/>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github.com/townlight/townlight/releases/download/townlight-beta-1-windows-1.7.0.1/ACCEPTANCE-Windows-1.7.0.1.md" TargetMode="External" /><Relationship Type="http://schemas.openxmlformats.org/officeDocument/2006/relationships/hyperlink" Id="rId9" Target="https://github.com/townlight/townlight/releases/tag/townlight-beta-1-windows-1.7.0.1" TargetMode="External" /></Relationships>
</file>

<file path=word/_rels/footnotes.xml.rels><?xml version="1.0" encoding="UTF-8"?><Relationships xmlns="http://schemas.openxmlformats.org/package/2006/relationships"><Relationship Type="http://schemas.openxmlformats.org/officeDocument/2006/relationships/hyperlink" Id="rId11" Target="https://github.com/townlight/townlight/releases/download/townlight-beta-1-windows-1.7.0.1/ACCEPTANCE-Windows-1.7.0.1.md" TargetMode="External" /><Relationship Type="http://schemas.openxmlformats.org/officeDocument/2006/relationships/hyperlink" Id="rId9" Target="https://github.com/townlight/townlight/releases/tag/townlight-beta-1-windows-1.7.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Townlight Access Manual</dc:title>
  <dc:creator/>
  <cp:keywords/>
  <dcterms:created xsi:type="dcterms:W3CDTF">2026-11-04T06:03:13Z</dcterms:created>
  <dcterms:modified xsi:type="dcterms:W3CDTF">2026-11-04T06:03:13Z</dcterms:modified>
</cp:coreProperties>
</file>

<file path=docProps/custom.xml><?xml version="1.0" encoding="utf-8"?>
<Properties xmlns="http://schemas.openxmlformats.org/officeDocument/2006/custom-properties" xmlns:vt="http://schemas.openxmlformats.org/officeDocument/2006/docPropsVTypes"/>
</file>